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0CD86" w14:textId="77777777" w:rsidR="008E3AD5" w:rsidRPr="008806A7" w:rsidRDefault="008E3AD5" w:rsidP="008E3AD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5489448"/>
      <w:bookmarkStart w:id="1" w:name="_Toc215582306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3A597B4D" w14:textId="77777777" w:rsidR="008E3AD5" w:rsidRPr="008806A7" w:rsidRDefault="008E3AD5" w:rsidP="008E3AD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15DC08ED" w14:textId="77777777" w:rsidR="008E3AD5" w:rsidRPr="008806A7" w:rsidRDefault="008E3AD5" w:rsidP="008E3AD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354F184E" w14:textId="77777777" w:rsidR="008E3AD5" w:rsidRPr="008806A7" w:rsidRDefault="008E3AD5" w:rsidP="008E3AD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3664489F" w14:textId="5583E4E7" w:rsidR="008E3AD5" w:rsidRPr="008806A7" w:rsidRDefault="008E3AD5" w:rsidP="008E3AD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56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88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4042BEE6" w14:textId="50C5E123" w:rsidR="008E3AD5" w:rsidRPr="004058F9" w:rsidRDefault="008E3AD5" w:rsidP="008E3AD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56</w:t>
      </w:r>
      <w:bookmarkStart w:id="35" w:name="_GoBack"/>
      <w:bookmarkEnd w:id="35"/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</w:t>
      </w:r>
    </w:p>
    <w:p w14:paraId="5BA24DCD" w14:textId="77777777" w:rsidR="008E3AD5" w:rsidRDefault="008E3AD5" w:rsidP="008E3AD5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51CDFF13" w14:textId="006189DE" w:rsidR="0080550B" w:rsidRDefault="00F5271C" w:rsidP="00FB3948">
      <w:pPr>
        <w:pStyle w:val="Heading1"/>
        <w:jc w:val="both"/>
        <w:rPr>
          <w:rtl/>
        </w:rPr>
      </w:pPr>
      <w:r>
        <w:rPr>
          <w:rFonts w:hint="cs"/>
          <w:rtl/>
        </w:rPr>
        <w:t xml:space="preserve">ادامه بررسی ادله </w:t>
      </w:r>
      <w:r w:rsidR="0080550B">
        <w:rPr>
          <w:rFonts w:hint="cs"/>
          <w:rtl/>
        </w:rPr>
        <w:t>لزوم فحص در شبهات حکمیه قبل از فحص</w:t>
      </w:r>
      <w:bookmarkEnd w:id="0"/>
      <w:bookmarkEnd w:id="1"/>
    </w:p>
    <w:p w14:paraId="0B528B91" w14:textId="518DDA79" w:rsidR="0080550B" w:rsidRDefault="00F5271C" w:rsidP="00FB3948">
      <w:pPr>
        <w:pStyle w:val="Heading1"/>
        <w:rPr>
          <w:rtl/>
        </w:rPr>
      </w:pPr>
      <w:bookmarkStart w:id="36" w:name="_Toc215489457"/>
      <w:bookmarkStart w:id="37" w:name="_Toc215582307"/>
      <w:r>
        <w:rPr>
          <w:rFonts w:hint="cs"/>
          <w:rtl/>
        </w:rPr>
        <w:t xml:space="preserve">ادامه بررسی </w:t>
      </w:r>
      <w:r w:rsidR="0080550B">
        <w:rPr>
          <w:rFonts w:hint="cs"/>
          <w:rtl/>
        </w:rPr>
        <w:t>اشکالات به دلالت اخبار دال بر وجوب تعلّم</w:t>
      </w:r>
      <w:bookmarkEnd w:id="36"/>
      <w:bookmarkEnd w:id="37"/>
    </w:p>
    <w:p w14:paraId="78B98F3D" w14:textId="3ED2A482" w:rsidR="00457A55" w:rsidRDefault="00620896" w:rsidP="00FB3948">
      <w:pPr>
        <w:jc w:val="both"/>
        <w:rPr>
          <w:rtl/>
        </w:rPr>
      </w:pPr>
      <w:r>
        <w:rPr>
          <w:rFonts w:hint="cs"/>
          <w:rtl/>
        </w:rPr>
        <w:t>بحث در تخ</w:t>
      </w:r>
      <w:r w:rsidR="00F5271C">
        <w:rPr>
          <w:rFonts w:hint="cs"/>
          <w:rtl/>
        </w:rPr>
        <w:t>صیص ادله‌ی برائت مثل حدیث رفع با</w:t>
      </w:r>
      <w:r>
        <w:rPr>
          <w:rFonts w:hint="cs"/>
          <w:rtl/>
        </w:rPr>
        <w:t xml:space="preserve"> اخبار تعلم دال بر وجوب فحص در شبهات حکمیه بود. اشکال‌های</w:t>
      </w:r>
      <w:r w:rsidR="00F5271C">
        <w:rPr>
          <w:rFonts w:hint="cs"/>
          <w:rtl/>
        </w:rPr>
        <w:t>ی</w:t>
      </w:r>
      <w:r>
        <w:rPr>
          <w:rFonts w:hint="cs"/>
          <w:rtl/>
        </w:rPr>
        <w:t xml:space="preserve"> به آن گرفته </w:t>
      </w:r>
      <w:r w:rsidR="00440AE4">
        <w:rPr>
          <w:rFonts w:hint="cs"/>
          <w:rtl/>
        </w:rPr>
        <w:t>شد</w:t>
      </w:r>
      <w:r>
        <w:rPr>
          <w:rFonts w:hint="cs"/>
          <w:rtl/>
        </w:rPr>
        <w:t xml:space="preserve"> که از آن جواب </w:t>
      </w:r>
      <w:r w:rsidR="00440AE4">
        <w:rPr>
          <w:rFonts w:hint="cs"/>
          <w:rtl/>
        </w:rPr>
        <w:t>دادیم و اکنون نیز برخی از آنها را مطرح می‌کنیم</w:t>
      </w:r>
      <w:r>
        <w:rPr>
          <w:rFonts w:hint="cs"/>
          <w:rtl/>
        </w:rPr>
        <w:t>.</w:t>
      </w:r>
    </w:p>
    <w:p w14:paraId="165153EC" w14:textId="7330F65F" w:rsidR="0080550B" w:rsidRDefault="00440AE4" w:rsidP="00FB3948">
      <w:pPr>
        <w:pStyle w:val="Heading1"/>
        <w:rPr>
          <w:rtl/>
        </w:rPr>
      </w:pPr>
      <w:bookmarkStart w:id="38" w:name="_Toc215489459"/>
      <w:bookmarkStart w:id="39" w:name="_Toc215582308"/>
      <w:r>
        <w:rPr>
          <w:rFonts w:hint="cs"/>
          <w:rtl/>
        </w:rPr>
        <w:t xml:space="preserve">ادامه بررسی </w:t>
      </w:r>
      <w:r w:rsidR="0080550B">
        <w:rPr>
          <w:rFonts w:hint="cs"/>
          <w:rtl/>
        </w:rPr>
        <w:t>اشکال دوم: تعارض و تساقط اخبار دال بر وجوب تعلّم با اخبار دال بر برائت بالمعنی الاخص و رجوع به اخبار دال بر برائت بالمعنی الاعم</w:t>
      </w:r>
      <w:bookmarkEnd w:id="38"/>
      <w:bookmarkEnd w:id="39"/>
    </w:p>
    <w:p w14:paraId="7C90DFB8" w14:textId="77777777" w:rsidR="00E95442" w:rsidRDefault="00620896" w:rsidP="00FB3948">
      <w:pPr>
        <w:jc w:val="both"/>
        <w:rPr>
          <w:rtl/>
        </w:rPr>
      </w:pPr>
      <w:r>
        <w:rPr>
          <w:rFonts w:hint="cs"/>
          <w:rtl/>
        </w:rPr>
        <w:t xml:space="preserve">حدیث رفع از اطراف علم اجمالی به تکلیف انصراف دارد </w:t>
      </w:r>
      <w:r w:rsidR="009149E7">
        <w:rPr>
          <w:rFonts w:hint="cs"/>
          <w:rtl/>
        </w:rPr>
        <w:t xml:space="preserve">لذا </w:t>
      </w:r>
      <w:r>
        <w:rPr>
          <w:rFonts w:hint="cs"/>
          <w:rtl/>
        </w:rPr>
        <w:t>نسبت آن با «هل</w:t>
      </w:r>
      <w:r w:rsidR="00440AE4">
        <w:rPr>
          <w:rFonts w:hint="cs"/>
          <w:rtl/>
        </w:rPr>
        <w:t>ّ</w:t>
      </w:r>
      <w:r>
        <w:rPr>
          <w:rFonts w:hint="cs"/>
          <w:rtl/>
        </w:rPr>
        <w:t>ا</w:t>
      </w:r>
      <w:r w:rsidR="00440AE4">
        <w:rPr>
          <w:rFonts w:hint="cs"/>
          <w:rtl/>
        </w:rPr>
        <w:t xml:space="preserve"> </w:t>
      </w:r>
      <w:r>
        <w:rPr>
          <w:rFonts w:hint="cs"/>
          <w:rtl/>
        </w:rPr>
        <w:t>تعلمت» عموم من وجه است و مورد اجتماع</w:t>
      </w:r>
      <w:r w:rsidR="00E95442">
        <w:rPr>
          <w:rFonts w:hint="cs"/>
          <w:rtl/>
        </w:rPr>
        <w:t>،</w:t>
      </w:r>
      <w:r>
        <w:rPr>
          <w:rFonts w:hint="cs"/>
          <w:rtl/>
        </w:rPr>
        <w:t xml:space="preserve"> شبهه‌ی حکمیه قبل از فحص است و بعد از</w:t>
      </w:r>
      <w:r w:rsidR="00BB13CE">
        <w:rPr>
          <w:rFonts w:hint="cs"/>
          <w:rtl/>
        </w:rPr>
        <w:t xml:space="preserve"> تعارض و</w:t>
      </w:r>
      <w:r>
        <w:rPr>
          <w:rFonts w:hint="cs"/>
          <w:rtl/>
        </w:rPr>
        <w:t xml:space="preserve"> تساقط </w:t>
      </w:r>
      <w:r w:rsidR="00BB13CE">
        <w:rPr>
          <w:rFonts w:hint="cs"/>
          <w:rtl/>
        </w:rPr>
        <w:t xml:space="preserve">آن دو </w:t>
      </w:r>
      <w:r>
        <w:rPr>
          <w:rFonts w:hint="cs"/>
          <w:rtl/>
        </w:rPr>
        <w:t xml:space="preserve">به ادله‌ی برائت بالمعنی الاعم یعنی </w:t>
      </w:r>
      <w:r w:rsidR="005A63D0">
        <w:rPr>
          <w:rFonts w:hint="cs"/>
          <w:rtl/>
        </w:rPr>
        <w:t>«</w:t>
      </w:r>
      <w:r w:rsidR="005A63D0" w:rsidRPr="00A60848">
        <w:rPr>
          <w:rFonts w:hint="cs"/>
          <w:color w:val="008000"/>
          <w:rtl/>
        </w:rPr>
        <w:t>الناس فی سعةٍ ما لم یعلموا</w:t>
      </w:r>
      <w:r w:rsidR="005A63D0">
        <w:rPr>
          <w:rFonts w:hint="cs"/>
          <w:rtl/>
        </w:rPr>
        <w:t>»</w:t>
      </w:r>
      <w:r w:rsidR="005A63D0">
        <w:rPr>
          <w:rStyle w:val="FootnoteReference"/>
          <w:rtl/>
        </w:rPr>
        <w:footnoteReference w:id="1"/>
      </w:r>
      <w:r w:rsidR="005A63D0">
        <w:rPr>
          <w:rFonts w:hint="cs"/>
          <w:rtl/>
        </w:rPr>
        <w:t xml:space="preserve"> </w:t>
      </w:r>
      <w:r w:rsidR="005A63D0">
        <w:rPr>
          <w:rFonts w:hint="cs"/>
          <w:rtl/>
          <w:lang w:bidi="ar-SA"/>
        </w:rPr>
        <w:t xml:space="preserve">یا </w:t>
      </w:r>
      <w:r w:rsidR="005A63D0">
        <w:rPr>
          <w:rFonts w:hint="cs"/>
          <w:rtl/>
        </w:rPr>
        <w:t>«</w:t>
      </w:r>
      <w:r w:rsidR="005A63D0" w:rsidRPr="00A60848">
        <w:rPr>
          <w:rFonts w:hint="cs"/>
          <w:color w:val="008000"/>
          <w:rtl/>
        </w:rPr>
        <w:t>ای</w:t>
      </w:r>
      <w:r w:rsidR="005A63D0">
        <w:rPr>
          <w:rFonts w:hint="cs"/>
          <w:color w:val="008000"/>
          <w:rtl/>
        </w:rPr>
        <w:t>ما</w:t>
      </w:r>
      <w:r w:rsidR="005A63D0" w:rsidRPr="00A60848">
        <w:rPr>
          <w:rFonts w:hint="cs"/>
          <w:color w:val="008000"/>
          <w:rtl/>
        </w:rPr>
        <w:t xml:space="preserve"> رجل رکب امرا بجهالة فلاشیء علیه</w:t>
      </w:r>
      <w:r w:rsidR="005A63D0">
        <w:rPr>
          <w:rFonts w:hint="cs"/>
          <w:rtl/>
        </w:rPr>
        <w:t>»</w:t>
      </w:r>
      <w:r w:rsidR="005A63D0">
        <w:rPr>
          <w:rStyle w:val="FootnoteReference"/>
          <w:rtl/>
        </w:rPr>
        <w:footnoteReference w:id="2"/>
      </w:r>
      <w:r w:rsidR="005A63D0">
        <w:rPr>
          <w:rFonts w:hint="cs"/>
          <w:rtl/>
        </w:rPr>
        <w:t xml:space="preserve"> </w:t>
      </w:r>
      <w:r w:rsidR="0091013A">
        <w:rPr>
          <w:rFonts w:hint="cs"/>
          <w:rtl/>
        </w:rPr>
        <w:t xml:space="preserve">که طرف تعارض با «هلا تعلمت» نیست، </w:t>
      </w:r>
      <w:r>
        <w:rPr>
          <w:rFonts w:hint="cs"/>
          <w:rtl/>
        </w:rPr>
        <w:t xml:space="preserve">رجوع می‌شود. </w:t>
      </w:r>
    </w:p>
    <w:p w14:paraId="7E74795A" w14:textId="0CFC1577" w:rsidR="00620896" w:rsidRDefault="00620896" w:rsidP="00FB3948">
      <w:pPr>
        <w:jc w:val="both"/>
        <w:rPr>
          <w:rtl/>
        </w:rPr>
      </w:pPr>
      <w:r>
        <w:rPr>
          <w:rFonts w:hint="cs"/>
          <w:rtl/>
        </w:rPr>
        <w:t>تفاوت دلیل</w:t>
      </w:r>
      <w:r w:rsidR="00F14CDF">
        <w:rPr>
          <w:rFonts w:hint="cs"/>
          <w:rtl/>
        </w:rPr>
        <w:t xml:space="preserve"> برائت بالمعنی الاعم</w:t>
      </w:r>
      <w:r>
        <w:rPr>
          <w:rFonts w:hint="cs"/>
          <w:rtl/>
        </w:rPr>
        <w:t xml:space="preserve"> با حدیث رفع این است که حدیث رفع بر تکلیف واقعی مشکوک </w:t>
      </w:r>
      <w:r w:rsidR="00F14CDF">
        <w:rPr>
          <w:rFonts w:hint="cs"/>
          <w:rtl/>
        </w:rPr>
        <w:t>-</w:t>
      </w:r>
      <w:r>
        <w:rPr>
          <w:rFonts w:hint="cs"/>
          <w:rtl/>
        </w:rPr>
        <w:t>مثل تحریم شرب تتن</w:t>
      </w:r>
      <w:r w:rsidR="00F14CDF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65337">
        <w:rPr>
          <w:rFonts w:hint="cs"/>
          <w:rtl/>
        </w:rPr>
        <w:t xml:space="preserve">منطبق </w:t>
      </w:r>
      <w:r>
        <w:rPr>
          <w:rFonts w:hint="cs"/>
          <w:rtl/>
        </w:rPr>
        <w:t xml:space="preserve">می‌شود و دلیل وجوب احتیاط آن تحریم واقعی شرب تتن را از </w:t>
      </w:r>
      <w:r w:rsidR="00F14CDF">
        <w:rPr>
          <w:rFonts w:hint="cs"/>
          <w:rtl/>
        </w:rPr>
        <w:t>«</w:t>
      </w:r>
      <w:r>
        <w:rPr>
          <w:rFonts w:hint="cs"/>
          <w:rtl/>
        </w:rPr>
        <w:t>ما لایعلمون</w:t>
      </w:r>
      <w:r w:rsidR="00F14CDF">
        <w:rPr>
          <w:rFonts w:hint="cs"/>
          <w:rtl/>
        </w:rPr>
        <w:t>»</w:t>
      </w:r>
      <w:r>
        <w:rPr>
          <w:rFonts w:hint="cs"/>
          <w:rtl/>
        </w:rPr>
        <w:t xml:space="preserve"> بودن خارج نمی‌کند لذا</w:t>
      </w:r>
      <w:r w:rsidR="00741ABD">
        <w:rPr>
          <w:rFonts w:hint="cs"/>
          <w:rtl/>
        </w:rPr>
        <w:t xml:space="preserve"> </w:t>
      </w:r>
      <w:r>
        <w:rPr>
          <w:rFonts w:hint="cs"/>
          <w:rtl/>
        </w:rPr>
        <w:t>«هلا</w:t>
      </w:r>
      <w:r w:rsidR="00741ABD">
        <w:rPr>
          <w:rFonts w:hint="cs"/>
          <w:rtl/>
        </w:rPr>
        <w:t xml:space="preserve"> تعلمت</w:t>
      </w:r>
      <w:r>
        <w:rPr>
          <w:rFonts w:hint="cs"/>
          <w:rtl/>
        </w:rPr>
        <w:t xml:space="preserve">» </w:t>
      </w:r>
      <w:r w:rsidR="00CB6657">
        <w:rPr>
          <w:rFonts w:hint="cs"/>
          <w:rtl/>
        </w:rPr>
        <w:t xml:space="preserve">باید </w:t>
      </w:r>
      <w:r>
        <w:rPr>
          <w:rFonts w:hint="cs"/>
          <w:rtl/>
        </w:rPr>
        <w:t>مخصص یا معارض آن باشد ولی با وجود «هلا</w:t>
      </w:r>
      <w:r w:rsidR="00741ABD">
        <w:rPr>
          <w:rFonts w:hint="cs"/>
          <w:rtl/>
        </w:rPr>
        <w:t xml:space="preserve"> تعلمت</w:t>
      </w:r>
      <w:r>
        <w:rPr>
          <w:rFonts w:hint="cs"/>
          <w:rtl/>
        </w:rPr>
        <w:t xml:space="preserve">» مکلف </w:t>
      </w:r>
      <w:r w:rsidR="003E3123">
        <w:rPr>
          <w:rFonts w:hint="cs"/>
          <w:rtl/>
        </w:rPr>
        <w:t xml:space="preserve">مصداق </w:t>
      </w:r>
      <w:r>
        <w:rPr>
          <w:rFonts w:hint="cs"/>
          <w:rtl/>
        </w:rPr>
        <w:t>«</w:t>
      </w:r>
      <w:r w:rsidR="003E3123">
        <w:rPr>
          <w:rFonts w:hint="cs"/>
          <w:rtl/>
        </w:rPr>
        <w:t>من رکب</w:t>
      </w:r>
      <w:r>
        <w:rPr>
          <w:rFonts w:hint="cs"/>
          <w:rtl/>
        </w:rPr>
        <w:t>»</w:t>
      </w:r>
      <w:r w:rsidR="00C931A9">
        <w:rPr>
          <w:rFonts w:hint="cs"/>
          <w:rtl/>
        </w:rPr>
        <w:t xml:space="preserve"> و «ما لم یعلموا»</w:t>
      </w:r>
      <w:r>
        <w:rPr>
          <w:rFonts w:hint="cs"/>
          <w:rtl/>
        </w:rPr>
        <w:t xml:space="preserve"> به طور مطلق نیست بلکه </w:t>
      </w:r>
      <w:r w:rsidR="003E3123">
        <w:rPr>
          <w:rFonts w:hint="cs"/>
          <w:rtl/>
        </w:rPr>
        <w:t>«ش</w:t>
      </w:r>
      <w:r w:rsidR="00741ABD">
        <w:rPr>
          <w:rFonts w:hint="cs"/>
          <w:rtl/>
        </w:rPr>
        <w:t>َ</w:t>
      </w:r>
      <w:r w:rsidR="003E3123">
        <w:rPr>
          <w:rFonts w:hint="cs"/>
          <w:rtl/>
        </w:rPr>
        <w:t>ر</w:t>
      </w:r>
      <w:r w:rsidR="00741ABD">
        <w:rPr>
          <w:rFonts w:hint="cs"/>
          <w:rtl/>
        </w:rPr>
        <w:t>ِ</w:t>
      </w:r>
      <w:r w:rsidR="00F14CDF">
        <w:rPr>
          <w:rFonts w:hint="cs"/>
          <w:rtl/>
        </w:rPr>
        <w:t>ب التتن لابجهالة بل بعلم بال</w:t>
      </w:r>
      <w:r w:rsidR="003E3123">
        <w:rPr>
          <w:rFonts w:hint="cs"/>
          <w:rtl/>
        </w:rPr>
        <w:t>حکم الظاهری الالزامی»</w:t>
      </w:r>
      <w:r w:rsidR="00C931A9">
        <w:rPr>
          <w:rFonts w:hint="cs"/>
          <w:rtl/>
        </w:rPr>
        <w:t xml:space="preserve"> و «علم بوظیفته الظاهریة». </w:t>
      </w:r>
    </w:p>
    <w:p w14:paraId="13A6949A" w14:textId="1DF645EA" w:rsidR="009E40A4" w:rsidRDefault="009E40A4" w:rsidP="00FB3948">
      <w:pPr>
        <w:pStyle w:val="Heading2"/>
        <w:rPr>
          <w:rtl/>
        </w:rPr>
      </w:pPr>
      <w:bookmarkStart w:id="40" w:name="_Toc215582309"/>
      <w:r>
        <w:rPr>
          <w:rFonts w:hint="cs"/>
          <w:rtl/>
        </w:rPr>
        <w:t>پاسخ به اشکال دوم</w:t>
      </w:r>
      <w:bookmarkEnd w:id="40"/>
    </w:p>
    <w:p w14:paraId="757CAA8F" w14:textId="2735DD53" w:rsidR="00620896" w:rsidRDefault="00620896" w:rsidP="00FB3948">
      <w:pPr>
        <w:jc w:val="both"/>
        <w:rPr>
          <w:rtl/>
        </w:rPr>
      </w:pPr>
      <w:r>
        <w:rPr>
          <w:rFonts w:hint="cs"/>
          <w:rtl/>
        </w:rPr>
        <w:t xml:space="preserve">این بیان تمام نیست و دارای اشکال است: </w:t>
      </w:r>
    </w:p>
    <w:p w14:paraId="1F6208DC" w14:textId="3ED5EEFF" w:rsidR="00620896" w:rsidRDefault="009E40A4" w:rsidP="00FB3948">
      <w:pPr>
        <w:pStyle w:val="Heading3"/>
        <w:rPr>
          <w:rtl/>
        </w:rPr>
      </w:pPr>
      <w:bookmarkStart w:id="41" w:name="_Toc215489460"/>
      <w:bookmarkStart w:id="42" w:name="_Toc215582310"/>
      <w:r>
        <w:rPr>
          <w:rFonts w:hint="cs"/>
          <w:rtl/>
        </w:rPr>
        <w:lastRenderedPageBreak/>
        <w:t>پاسخ</w:t>
      </w:r>
      <w:r w:rsidR="0080550B">
        <w:rPr>
          <w:rFonts w:hint="cs"/>
          <w:rtl/>
        </w:rPr>
        <w:t xml:space="preserve"> اول </w:t>
      </w:r>
      <w:r>
        <w:rPr>
          <w:rFonts w:hint="cs"/>
          <w:rtl/>
        </w:rPr>
        <w:t>به</w:t>
      </w:r>
      <w:r w:rsidR="0080550B">
        <w:rPr>
          <w:rFonts w:hint="cs"/>
          <w:rtl/>
        </w:rPr>
        <w:t xml:space="preserve"> اشکال دوم</w:t>
      </w:r>
      <w:r>
        <w:rPr>
          <w:rFonts w:hint="cs"/>
          <w:rtl/>
        </w:rPr>
        <w:t>:</w:t>
      </w:r>
      <w:r w:rsidR="0080550B">
        <w:rPr>
          <w:rFonts w:hint="cs"/>
          <w:rtl/>
        </w:rPr>
        <w:t xml:space="preserve"> عدم اختصاص اخبار دال بر وجوب تعلم به شبهات مقرون به علم اجمالی</w:t>
      </w:r>
      <w:bookmarkEnd w:id="41"/>
      <w:bookmarkEnd w:id="42"/>
    </w:p>
    <w:p w14:paraId="12DC8683" w14:textId="13081108" w:rsidR="00620896" w:rsidRDefault="002A7875" w:rsidP="00FB3948">
      <w:pPr>
        <w:jc w:val="both"/>
        <w:rPr>
          <w:rtl/>
        </w:rPr>
      </w:pPr>
      <w:r>
        <w:rPr>
          <w:rFonts w:hint="cs"/>
          <w:rtl/>
        </w:rPr>
        <w:t xml:space="preserve">ولو </w:t>
      </w:r>
      <w:r w:rsidR="00A92D9A">
        <w:rPr>
          <w:rFonts w:hint="cs"/>
          <w:rtl/>
        </w:rPr>
        <w:t>«أف</w:t>
      </w:r>
      <w:r>
        <w:rPr>
          <w:rFonts w:hint="cs"/>
          <w:rtl/>
        </w:rPr>
        <w:t>لا تعلمت</w:t>
      </w:r>
      <w:r w:rsidR="00A92D9A">
        <w:rPr>
          <w:rFonts w:hint="cs"/>
          <w:rtl/>
        </w:rPr>
        <w:t>»</w:t>
      </w:r>
      <w:r>
        <w:rPr>
          <w:rFonts w:hint="cs"/>
          <w:rtl/>
        </w:rPr>
        <w:t xml:space="preserve"> شامل شبهات حکمیه قبل از فحص و شبهات مقرون به علم</w:t>
      </w:r>
      <w:r w:rsidR="00B44122">
        <w:rPr>
          <w:rFonts w:hint="cs"/>
          <w:rtl/>
        </w:rPr>
        <w:t xml:space="preserve"> </w:t>
      </w:r>
      <w:r>
        <w:rPr>
          <w:rFonts w:hint="cs"/>
          <w:rtl/>
        </w:rPr>
        <w:t xml:space="preserve">اجمالی می‌شود ولی حمل آن بر خصوص علم اجمالی مستلزم الغای عنوان روایت است زیرا </w:t>
      </w:r>
      <w:r w:rsidR="002B3D83">
        <w:rPr>
          <w:rFonts w:hint="cs"/>
          <w:rtl/>
        </w:rPr>
        <w:t>مفاد این روایت عدم معذریت ج</w:t>
      </w:r>
      <w:r>
        <w:rPr>
          <w:rFonts w:hint="cs"/>
          <w:rtl/>
        </w:rPr>
        <w:t xml:space="preserve">هل </w:t>
      </w:r>
      <w:r w:rsidR="009E40A4">
        <w:rPr>
          <w:rFonts w:hint="cs"/>
          <w:rtl/>
        </w:rPr>
        <w:t>است</w:t>
      </w:r>
      <w:r w:rsidR="002B3D83">
        <w:rPr>
          <w:rFonts w:hint="cs"/>
          <w:rtl/>
        </w:rPr>
        <w:t xml:space="preserve"> </w:t>
      </w:r>
      <w:r>
        <w:rPr>
          <w:rFonts w:hint="cs"/>
          <w:rtl/>
        </w:rPr>
        <w:t xml:space="preserve">نه این که علم اجمالی منجز </w:t>
      </w:r>
      <w:r w:rsidR="002B3D83">
        <w:rPr>
          <w:rFonts w:hint="cs"/>
          <w:rtl/>
        </w:rPr>
        <w:t xml:space="preserve">باشد. </w:t>
      </w:r>
    </w:p>
    <w:p w14:paraId="6359E706" w14:textId="040DBFF6" w:rsidR="002A7875" w:rsidRDefault="009E40A4" w:rsidP="00FB3948">
      <w:pPr>
        <w:pStyle w:val="Heading2"/>
        <w:jc w:val="both"/>
        <w:rPr>
          <w:rtl/>
        </w:rPr>
      </w:pPr>
      <w:bookmarkStart w:id="43" w:name="_Toc215582311"/>
      <w:r>
        <w:rPr>
          <w:rFonts w:hint="cs"/>
          <w:rtl/>
        </w:rPr>
        <w:t>پاسخ</w:t>
      </w:r>
      <w:r w:rsidR="0080550B">
        <w:rPr>
          <w:rFonts w:hint="cs"/>
          <w:rtl/>
        </w:rPr>
        <w:t xml:space="preserve"> دوم </w:t>
      </w:r>
      <w:r>
        <w:rPr>
          <w:rFonts w:hint="cs"/>
          <w:rtl/>
        </w:rPr>
        <w:t>به</w:t>
      </w:r>
      <w:r w:rsidR="0080550B">
        <w:rPr>
          <w:rFonts w:hint="cs"/>
          <w:rtl/>
        </w:rPr>
        <w:t xml:space="preserve"> اشکال دوم: </w:t>
      </w:r>
      <w:r w:rsidR="001546AA">
        <w:rPr>
          <w:rFonts w:hint="cs"/>
          <w:rtl/>
        </w:rPr>
        <w:t>ورود حکم عقل به لزوم احتیاط در شبهات حکمیه قبل از فحص بر ادله‌ی برائت بالمعنی الاعم</w:t>
      </w:r>
      <w:bookmarkEnd w:id="43"/>
    </w:p>
    <w:p w14:paraId="17531C25" w14:textId="27B52DCD" w:rsidR="002A7875" w:rsidRDefault="00DA4B24" w:rsidP="00FB3948">
      <w:pPr>
        <w:jc w:val="both"/>
        <w:rPr>
          <w:rtl/>
        </w:rPr>
      </w:pPr>
      <w:r>
        <w:rPr>
          <w:rFonts w:hint="cs"/>
          <w:rtl/>
        </w:rPr>
        <w:t>مفاد روایت «</w:t>
      </w:r>
      <w:r w:rsidRPr="005A5109">
        <w:rPr>
          <w:rFonts w:hint="cs"/>
          <w:color w:val="008000"/>
          <w:rtl/>
        </w:rPr>
        <w:t>رکب امر بجهالة</w:t>
      </w:r>
      <w:r w:rsidR="00A63314">
        <w:rPr>
          <w:rFonts w:hint="cs"/>
          <w:rtl/>
        </w:rPr>
        <w:t xml:space="preserve">» </w:t>
      </w:r>
      <w:r w:rsidR="0043682F">
        <w:rPr>
          <w:rFonts w:hint="cs"/>
          <w:rtl/>
        </w:rPr>
        <w:t xml:space="preserve">جهل به وظیفه اعم از وظیفه‌ی شرعی و عقلی است و </w:t>
      </w:r>
      <w:r w:rsidR="002A7875">
        <w:rPr>
          <w:rFonts w:hint="cs"/>
          <w:rtl/>
        </w:rPr>
        <w:t>حکم عقل به لزوم احتیاط در شبهات حکمیه قبل از فحص</w:t>
      </w:r>
      <w:r w:rsidR="0060637E">
        <w:rPr>
          <w:rFonts w:hint="cs"/>
          <w:rtl/>
        </w:rPr>
        <w:t xml:space="preserve"> که</w:t>
      </w:r>
      <w:r w:rsidR="002A7875">
        <w:rPr>
          <w:rFonts w:hint="cs"/>
          <w:rtl/>
        </w:rPr>
        <w:t xml:space="preserve"> وظیفه‌ی ظاهریه را مشخص می‌کند</w:t>
      </w:r>
      <w:r w:rsidR="0060637E">
        <w:rPr>
          <w:rFonts w:hint="cs"/>
          <w:rtl/>
        </w:rPr>
        <w:t xml:space="preserve"> وارد بر آن است</w:t>
      </w:r>
      <w:r w:rsidR="00457C5F">
        <w:rPr>
          <w:rFonts w:hint="cs"/>
          <w:rtl/>
        </w:rPr>
        <w:t xml:space="preserve"> زیرا </w:t>
      </w:r>
      <w:r w:rsidR="009E40A4">
        <w:rPr>
          <w:rFonts w:hint="cs"/>
          <w:rtl/>
        </w:rPr>
        <w:t>وظیفه‌ی ظاهریۀ</w:t>
      </w:r>
      <w:r w:rsidR="007D7DD4">
        <w:rPr>
          <w:rFonts w:hint="cs"/>
          <w:rtl/>
        </w:rPr>
        <w:t xml:space="preserve"> عقلیه مکلف را مشخص می‌کند.</w:t>
      </w:r>
      <w:r w:rsidR="002A7875">
        <w:rPr>
          <w:rFonts w:hint="cs"/>
          <w:rtl/>
        </w:rPr>
        <w:t xml:space="preserve"> و نمی‌توان با وجود آن به «</w:t>
      </w:r>
      <w:r w:rsidR="0060637E">
        <w:rPr>
          <w:rFonts w:hint="cs"/>
          <w:rtl/>
        </w:rPr>
        <w:t>ایما رجل رکب امر بجهالة</w:t>
      </w:r>
      <w:r w:rsidR="002A7875">
        <w:rPr>
          <w:rFonts w:hint="cs"/>
          <w:rtl/>
        </w:rPr>
        <w:t>» برای جواز ارتکاب شبهات حکمیه قبل از فحص رجوع کرد</w:t>
      </w:r>
      <w:r w:rsidR="00DF7B66">
        <w:rPr>
          <w:rFonts w:hint="cs"/>
          <w:rtl/>
        </w:rPr>
        <w:t xml:space="preserve">. </w:t>
      </w:r>
      <w:r w:rsidR="002A7875">
        <w:rPr>
          <w:rFonts w:hint="cs"/>
          <w:rtl/>
        </w:rPr>
        <w:t>زیرا</w:t>
      </w:r>
      <w:r w:rsidR="00DF7B66">
        <w:rPr>
          <w:rFonts w:hint="cs"/>
          <w:rtl/>
        </w:rPr>
        <w:t xml:space="preserve"> او با وجود این حکم عقل جاهل به طور مطلق نیست بلکه عالم به وظیفه‌ی ظاهریه ول</w:t>
      </w:r>
      <w:r w:rsidR="00572AA6">
        <w:rPr>
          <w:rFonts w:hint="cs"/>
          <w:rtl/>
        </w:rPr>
        <w:t>و عقلیه است.</w:t>
      </w:r>
      <w:r w:rsidR="00457C5F">
        <w:rPr>
          <w:rFonts w:hint="cs"/>
          <w:rtl/>
        </w:rPr>
        <w:t xml:space="preserve"> </w:t>
      </w:r>
      <w:r w:rsidR="00A63314">
        <w:rPr>
          <w:rFonts w:hint="cs"/>
          <w:rtl/>
        </w:rPr>
        <w:t>البته اگر مفاد این روایت «رکب امر بجهالة بالوظیفة الشرعیه»</w:t>
      </w:r>
      <w:r w:rsidR="00240642">
        <w:rPr>
          <w:rFonts w:hint="cs"/>
          <w:rtl/>
        </w:rPr>
        <w:t xml:space="preserve"> </w:t>
      </w:r>
      <w:r w:rsidR="007D7DD4">
        <w:rPr>
          <w:rFonts w:hint="cs"/>
          <w:rtl/>
        </w:rPr>
        <w:t xml:space="preserve">بود </w:t>
      </w:r>
      <w:r w:rsidR="00254DE6">
        <w:rPr>
          <w:rFonts w:hint="cs"/>
          <w:rtl/>
        </w:rPr>
        <w:t xml:space="preserve">علم به </w:t>
      </w:r>
      <w:r w:rsidR="002A7875">
        <w:rPr>
          <w:rFonts w:hint="cs"/>
          <w:rtl/>
        </w:rPr>
        <w:t xml:space="preserve">وظیفه‌ی عقلیه ظاهریه مهم نبود و مهم جهل به وظیفه‌ی ظاهریه شرعیه </w:t>
      </w:r>
      <w:r w:rsidR="00586187">
        <w:rPr>
          <w:rFonts w:hint="cs"/>
          <w:rtl/>
        </w:rPr>
        <w:t xml:space="preserve">اعم از واقعی و ظاهری </w:t>
      </w:r>
      <w:r w:rsidR="002A7875">
        <w:rPr>
          <w:rFonts w:hint="cs"/>
          <w:rtl/>
        </w:rPr>
        <w:t xml:space="preserve">است </w:t>
      </w:r>
      <w:r w:rsidR="00586187">
        <w:rPr>
          <w:rFonts w:hint="cs"/>
          <w:rtl/>
        </w:rPr>
        <w:t>همان‌طور</w:t>
      </w:r>
      <w:r w:rsidR="002A7875">
        <w:rPr>
          <w:rFonts w:hint="cs"/>
          <w:rtl/>
        </w:rPr>
        <w:t xml:space="preserve"> که در </w:t>
      </w:r>
      <w:r w:rsidR="00586187">
        <w:rPr>
          <w:rFonts w:hint="cs"/>
          <w:rtl/>
        </w:rPr>
        <w:t xml:space="preserve">مورد آیه‌ی </w:t>
      </w:r>
      <w:r w:rsidR="0047140F">
        <w:rPr>
          <w:rFonts w:ascii="Arial" w:hAnsi="Arial" w:cs="Arial" w:hint="cs"/>
          <w:color w:val="008000"/>
          <w:rtl/>
        </w:rPr>
        <w:t>﴿</w:t>
      </w:r>
      <w:r w:rsidR="0047140F" w:rsidRPr="0047140F">
        <w:rPr>
          <w:rFonts w:hint="cs"/>
          <w:color w:val="008000"/>
          <w:rtl/>
        </w:rPr>
        <w:t>وَ ما كُنَّا مُعَذِّبينَ‏ حَتَّى نَبْعَثَ رَسُولاً</w:t>
      </w:r>
      <w:r w:rsidR="0047140F" w:rsidRPr="0047140F">
        <w:rPr>
          <w:rFonts w:ascii="Arial" w:hAnsi="Arial" w:cs="Arial" w:hint="cs"/>
          <w:color w:val="008000"/>
          <w:rtl/>
        </w:rPr>
        <w:t>﴾</w:t>
      </w:r>
      <w:r w:rsidR="0047140F">
        <w:rPr>
          <w:rStyle w:val="FootnoteReference"/>
          <w:color w:val="008000"/>
          <w:rtl/>
        </w:rPr>
        <w:footnoteReference w:id="3"/>
      </w:r>
      <w:r w:rsidR="0047140F">
        <w:rPr>
          <w:rFonts w:ascii="Arial" w:hAnsi="Arial" w:cs="Arial" w:hint="cs"/>
          <w:color w:val="008000"/>
          <w:rtl/>
        </w:rPr>
        <w:t xml:space="preserve"> </w:t>
      </w:r>
      <w:r w:rsidR="002A7875">
        <w:rPr>
          <w:rFonts w:hint="cs"/>
          <w:rtl/>
        </w:rPr>
        <w:t xml:space="preserve">بعضی گفتند شامل </w:t>
      </w:r>
      <w:r w:rsidR="00FD16E2">
        <w:rPr>
          <w:rFonts w:hint="cs"/>
          <w:rtl/>
        </w:rPr>
        <w:t xml:space="preserve">علم به </w:t>
      </w:r>
      <w:r w:rsidR="002A7875">
        <w:rPr>
          <w:rFonts w:hint="cs"/>
          <w:rtl/>
        </w:rPr>
        <w:t xml:space="preserve">حکم عقل </w:t>
      </w:r>
      <w:r w:rsidR="00FD16E2">
        <w:rPr>
          <w:rFonts w:hint="cs"/>
          <w:rtl/>
        </w:rPr>
        <w:t xml:space="preserve">به لزوم احتیاط </w:t>
      </w:r>
      <w:r w:rsidR="002A7875">
        <w:rPr>
          <w:rFonts w:hint="cs"/>
          <w:rtl/>
        </w:rPr>
        <w:t xml:space="preserve">نمی‌شود که ما این بیان و همچنین دلالت آیه بر برائت را نپذیرفتیم. </w:t>
      </w:r>
    </w:p>
    <w:p w14:paraId="5DCF803C" w14:textId="37820A51" w:rsidR="002A7875" w:rsidRDefault="000D7AE1" w:rsidP="00FB3948">
      <w:pPr>
        <w:jc w:val="both"/>
        <w:rPr>
          <w:rtl/>
        </w:rPr>
      </w:pPr>
      <w:r>
        <w:rPr>
          <w:rFonts w:hint="cs"/>
          <w:rtl/>
        </w:rPr>
        <w:t xml:space="preserve">بنابراین بر </w:t>
      </w:r>
      <w:r w:rsidR="00FA4993">
        <w:rPr>
          <w:rFonts w:hint="cs"/>
          <w:rtl/>
        </w:rPr>
        <w:t>کسی که عالم به وجوب احتیاط است «رکب امر</w:t>
      </w:r>
      <w:r w:rsidR="00A92D9A">
        <w:rPr>
          <w:rFonts w:hint="cs"/>
          <w:rtl/>
        </w:rPr>
        <w:t>ا</w:t>
      </w:r>
      <w:r w:rsidR="00FA4993">
        <w:rPr>
          <w:rFonts w:hint="cs"/>
          <w:rtl/>
        </w:rPr>
        <w:t xml:space="preserve"> بجهالة» صدق نمی‌کند</w:t>
      </w:r>
      <w:r w:rsidR="00717E45">
        <w:rPr>
          <w:rFonts w:hint="cs"/>
          <w:rtl/>
        </w:rPr>
        <w:t>.</w:t>
      </w:r>
      <w:r w:rsidR="00FA4993">
        <w:rPr>
          <w:rFonts w:hint="cs"/>
          <w:rtl/>
        </w:rPr>
        <w:t xml:space="preserve"> توارد بین یک دلیل عقلی و دلیل ظنی معنا ندارد توارد به معنای تعارض است</w:t>
      </w:r>
      <w:r w:rsidR="000A4244">
        <w:rPr>
          <w:rFonts w:hint="cs"/>
          <w:rtl/>
        </w:rPr>
        <w:t xml:space="preserve"> و تعارض بین دو دلیل ظنی است.</w:t>
      </w:r>
    </w:p>
    <w:p w14:paraId="03B21AB0" w14:textId="7A3CE00B" w:rsidR="00FA4993" w:rsidRDefault="00FA4993" w:rsidP="00FB3948">
      <w:pPr>
        <w:pStyle w:val="Heading1"/>
        <w:rPr>
          <w:rtl/>
        </w:rPr>
      </w:pPr>
      <w:bookmarkStart w:id="44" w:name="_Toc215582312"/>
      <w:r>
        <w:rPr>
          <w:rFonts w:hint="cs"/>
          <w:rtl/>
        </w:rPr>
        <w:t>اشکال پنجم</w:t>
      </w:r>
      <w:r w:rsidR="001546AA">
        <w:rPr>
          <w:rFonts w:hint="cs"/>
          <w:rtl/>
        </w:rPr>
        <w:t>: عدم جواز تسمک به «هلاتعلمت» در شبهات بدویه قبل از فحص به سبب شبهه‌ی مصداقیه</w:t>
      </w:r>
      <w:bookmarkEnd w:id="44"/>
      <w:r w:rsidR="001546AA">
        <w:rPr>
          <w:rFonts w:hint="cs"/>
          <w:rtl/>
        </w:rPr>
        <w:t xml:space="preserve">  </w:t>
      </w:r>
    </w:p>
    <w:p w14:paraId="4D32C495" w14:textId="1001303B" w:rsidR="00FA4993" w:rsidRDefault="00FC3A6D" w:rsidP="00FB3948">
      <w:pPr>
        <w:jc w:val="both"/>
        <w:rPr>
          <w:rtl/>
        </w:rPr>
      </w:pPr>
      <w:r>
        <w:rPr>
          <w:rFonts w:hint="cs"/>
          <w:rtl/>
        </w:rPr>
        <w:t>محقق عراقی فرموده‌اند: ««</w:t>
      </w:r>
      <w:r w:rsidR="00A92D9A">
        <w:rPr>
          <w:rFonts w:hint="cs"/>
          <w:color w:val="008000"/>
          <w:rtl/>
        </w:rPr>
        <w:t>أفلا</w:t>
      </w:r>
      <w:r w:rsidR="00E228CE" w:rsidRPr="00194C2C">
        <w:rPr>
          <w:rFonts w:hint="cs"/>
          <w:color w:val="008000"/>
          <w:rtl/>
        </w:rPr>
        <w:t xml:space="preserve"> تعلمت</w:t>
      </w:r>
      <w:r>
        <w:rPr>
          <w:rFonts w:hint="cs"/>
          <w:rtl/>
        </w:rPr>
        <w:t>» شامل مواردی می‌شود که اماره‌ی در معرض وصول وجود دارد و با فحص به دست می‌آید ولی مکلف فحص نکرده است</w:t>
      </w:r>
      <w:r w:rsidR="00D51BCC">
        <w:rPr>
          <w:rFonts w:hint="cs"/>
          <w:rtl/>
        </w:rPr>
        <w:t xml:space="preserve"> و مفاد آن این است که «</w:t>
      </w:r>
      <w:r w:rsidR="00415D02">
        <w:rPr>
          <w:rFonts w:hint="cs"/>
          <w:rtl/>
        </w:rPr>
        <w:t>مکلف در موارد وجود اماره در معرض وصول</w:t>
      </w:r>
      <w:r w:rsidR="00717E45">
        <w:rPr>
          <w:rFonts w:hint="cs"/>
          <w:rtl/>
        </w:rPr>
        <w:t>،</w:t>
      </w:r>
      <w:r w:rsidR="00415D02">
        <w:rPr>
          <w:rFonts w:hint="cs"/>
          <w:rtl/>
        </w:rPr>
        <w:t xml:space="preserve"> </w:t>
      </w:r>
      <w:r w:rsidR="00717E45">
        <w:rPr>
          <w:rFonts w:hint="cs"/>
          <w:rtl/>
        </w:rPr>
        <w:t>معذور نیست</w:t>
      </w:r>
      <w:r w:rsidR="00415D02">
        <w:rPr>
          <w:rFonts w:hint="cs"/>
          <w:rtl/>
        </w:rPr>
        <w:t>»</w:t>
      </w:r>
      <w:r w:rsidR="00717E45">
        <w:rPr>
          <w:rFonts w:hint="cs"/>
          <w:rtl/>
        </w:rPr>
        <w:t>.</w:t>
      </w:r>
      <w:r w:rsidR="003B203E">
        <w:rPr>
          <w:rFonts w:hint="cs"/>
          <w:rtl/>
        </w:rPr>
        <w:t xml:space="preserve"> تمام موارد</w:t>
      </w:r>
      <w:r w:rsidR="00194C2C">
        <w:rPr>
          <w:rFonts w:hint="cs"/>
          <w:rtl/>
        </w:rPr>
        <w:t xml:space="preserve"> شبه</w:t>
      </w:r>
      <w:r w:rsidR="003B203E">
        <w:rPr>
          <w:rFonts w:hint="cs"/>
          <w:rtl/>
        </w:rPr>
        <w:t xml:space="preserve">ه‌ی </w:t>
      </w:r>
      <w:r w:rsidR="00194C2C">
        <w:rPr>
          <w:rFonts w:hint="cs"/>
          <w:rtl/>
        </w:rPr>
        <w:t xml:space="preserve">بدویه قبل از فحص </w:t>
      </w:r>
      <w:r>
        <w:rPr>
          <w:rFonts w:hint="cs"/>
          <w:rtl/>
        </w:rPr>
        <w:t>شبهه‌ی مصداقیه وجود اماره در معرض وصول است</w:t>
      </w:r>
      <w:r w:rsidR="007D4831">
        <w:rPr>
          <w:rFonts w:hint="cs"/>
          <w:rtl/>
        </w:rPr>
        <w:t xml:space="preserve"> لذا</w:t>
      </w:r>
      <w:r w:rsidR="00E45B2F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نمی‌توان در موارد شبهه‌ی بدویه قبل از فحص </w:t>
      </w:r>
      <w:r w:rsidR="007D4831">
        <w:rPr>
          <w:rFonts w:hint="cs"/>
          <w:rtl/>
        </w:rPr>
        <w:t>به آن</w:t>
      </w:r>
      <w:r>
        <w:rPr>
          <w:rFonts w:hint="cs"/>
          <w:rtl/>
        </w:rPr>
        <w:t xml:space="preserve"> تمسک </w:t>
      </w:r>
      <w:r w:rsidR="001524F9">
        <w:rPr>
          <w:rFonts w:hint="cs"/>
          <w:rtl/>
        </w:rPr>
        <w:t>کرد.»</w:t>
      </w:r>
      <w:r w:rsidR="005A63D0" w:rsidRPr="00A60848">
        <w:rPr>
          <w:vertAlign w:val="superscript"/>
          <w:rtl/>
          <w:lang w:bidi="ar"/>
        </w:rPr>
        <w:footnoteReference w:id="4"/>
      </w:r>
    </w:p>
    <w:p w14:paraId="56B7D52C" w14:textId="0F2F138E" w:rsidR="00172848" w:rsidRDefault="00172848" w:rsidP="00FB3948">
      <w:pPr>
        <w:jc w:val="both"/>
        <w:rPr>
          <w:rtl/>
        </w:rPr>
      </w:pPr>
      <w:r>
        <w:rPr>
          <w:rFonts w:hint="cs"/>
          <w:rtl/>
        </w:rPr>
        <w:t>این روایت از نظر ایشان ارشاد به حکم عقل به لزوم تعلم احکام در شبهات مقرون به علم اجمالی است.</w:t>
      </w:r>
    </w:p>
    <w:p w14:paraId="4C0E23B0" w14:textId="47F8C262" w:rsidR="00FC3A6D" w:rsidRDefault="001546AA" w:rsidP="00FB3948">
      <w:pPr>
        <w:pStyle w:val="Heading2"/>
        <w:jc w:val="both"/>
        <w:rPr>
          <w:rtl/>
        </w:rPr>
      </w:pPr>
      <w:bookmarkStart w:id="45" w:name="_Toc215582313"/>
      <w:r>
        <w:rPr>
          <w:rFonts w:hint="cs"/>
          <w:rtl/>
        </w:rPr>
        <w:t>بررسی اشکال پنجم</w:t>
      </w:r>
      <w:bookmarkEnd w:id="45"/>
    </w:p>
    <w:p w14:paraId="25BC5EEE" w14:textId="1CA3716A" w:rsidR="00FC3A6D" w:rsidRDefault="00FB7A62" w:rsidP="00FB3948">
      <w:pPr>
        <w:jc w:val="both"/>
        <w:rPr>
          <w:rtl/>
        </w:rPr>
      </w:pPr>
      <w:r>
        <w:rPr>
          <w:rFonts w:hint="cs"/>
          <w:rtl/>
        </w:rPr>
        <w:t>ولو انصراف «</w:t>
      </w:r>
      <w:r w:rsidR="00A92D9A" w:rsidRPr="00A92D9A">
        <w:rPr>
          <w:rFonts w:hint="cs"/>
          <w:rtl/>
        </w:rPr>
        <w:t xml:space="preserve">أفلا </w:t>
      </w:r>
      <w:r>
        <w:rPr>
          <w:rFonts w:hint="cs"/>
          <w:rtl/>
        </w:rPr>
        <w:t xml:space="preserve">تعلمت» </w:t>
      </w:r>
      <w:r w:rsidR="00FC04D6">
        <w:rPr>
          <w:rFonts w:hint="cs"/>
          <w:rtl/>
        </w:rPr>
        <w:t xml:space="preserve">به </w:t>
      </w:r>
      <w:r w:rsidR="00DD68EE">
        <w:rPr>
          <w:rFonts w:hint="cs"/>
          <w:rtl/>
        </w:rPr>
        <w:t>موارد</w:t>
      </w:r>
      <w:r w:rsidR="00BD100E">
        <w:rPr>
          <w:rFonts w:hint="cs"/>
          <w:rtl/>
        </w:rPr>
        <w:t xml:space="preserve"> وجود اماره در معرض وصول </w:t>
      </w:r>
      <w:r w:rsidR="009D4903">
        <w:rPr>
          <w:rFonts w:hint="cs"/>
          <w:rtl/>
        </w:rPr>
        <w:t xml:space="preserve">و امکان تحصیل علم، </w:t>
      </w:r>
      <w:r w:rsidR="00BD100E">
        <w:rPr>
          <w:rFonts w:hint="cs"/>
          <w:rtl/>
        </w:rPr>
        <w:t xml:space="preserve">بعید نیست </w:t>
      </w:r>
      <w:r w:rsidR="00FC3A6D">
        <w:rPr>
          <w:rFonts w:hint="cs"/>
          <w:rtl/>
        </w:rPr>
        <w:t>و</w:t>
      </w:r>
      <w:r w:rsidR="00BD100E">
        <w:rPr>
          <w:rFonts w:hint="cs"/>
          <w:rtl/>
        </w:rPr>
        <w:t>لی</w:t>
      </w:r>
      <w:r w:rsidR="00FC3A6D">
        <w:rPr>
          <w:rFonts w:hint="cs"/>
          <w:rtl/>
        </w:rPr>
        <w:t xml:space="preserve"> «</w:t>
      </w:r>
      <w:r w:rsidR="005A63D0">
        <w:rPr>
          <w:rFonts w:hint="cs"/>
          <w:rtl/>
          <w:lang w:bidi="ar-SA"/>
        </w:rPr>
        <w:t>«</w:t>
      </w:r>
      <w:r w:rsidR="005A63D0" w:rsidRPr="00BD6F2F">
        <w:rPr>
          <w:rFonts w:hint="cs"/>
          <w:color w:val="008000"/>
          <w:rtl/>
          <w:lang w:bidi="ar-SA"/>
        </w:rPr>
        <w:t>طلب العلم فریضة علی کل مسلم</w:t>
      </w:r>
      <w:r w:rsidR="005A63D0">
        <w:rPr>
          <w:rFonts w:hint="cs"/>
          <w:rtl/>
          <w:lang w:bidi="ar-SA"/>
        </w:rPr>
        <w:t>»</w:t>
      </w:r>
      <w:r w:rsidR="005A63D0">
        <w:rPr>
          <w:rStyle w:val="FootnoteReference"/>
          <w:rtl/>
          <w:lang w:bidi="ar-SA"/>
        </w:rPr>
        <w:footnoteReference w:id="5"/>
      </w:r>
      <w:r w:rsidR="00FC3A6D">
        <w:rPr>
          <w:rFonts w:hint="cs"/>
          <w:rtl/>
        </w:rPr>
        <w:t xml:space="preserve"> </w:t>
      </w:r>
      <w:r w:rsidR="009D4903">
        <w:rPr>
          <w:rFonts w:hint="cs"/>
          <w:rtl/>
        </w:rPr>
        <w:t xml:space="preserve">به معنای امکان تحصیل علم نیست و شبیه </w:t>
      </w:r>
      <w:r w:rsidR="00FC3A6D">
        <w:rPr>
          <w:rFonts w:hint="cs"/>
          <w:rtl/>
        </w:rPr>
        <w:t xml:space="preserve">«طلب ضالته» </w:t>
      </w:r>
      <w:r w:rsidR="00FC3A6D">
        <w:rPr>
          <w:rFonts w:hint="cs"/>
          <w:rtl/>
        </w:rPr>
        <w:lastRenderedPageBreak/>
        <w:t xml:space="preserve">است که </w:t>
      </w:r>
      <w:r w:rsidR="000C3997">
        <w:rPr>
          <w:rFonts w:hint="cs"/>
          <w:rtl/>
        </w:rPr>
        <w:t>بر موردی که</w:t>
      </w:r>
      <w:r w:rsidR="003E2E1A">
        <w:rPr>
          <w:rFonts w:hint="cs"/>
          <w:rtl/>
        </w:rPr>
        <w:t xml:space="preserve"> در واقع امکان پیدا کردن آن وجود ندارد ولی</w:t>
      </w:r>
      <w:r w:rsidR="00E75C3F">
        <w:rPr>
          <w:rFonts w:hint="cs"/>
          <w:rtl/>
        </w:rPr>
        <w:t xml:space="preserve"> به جهت داشتن</w:t>
      </w:r>
      <w:r w:rsidR="003E2E1A">
        <w:rPr>
          <w:rFonts w:hint="cs"/>
          <w:rtl/>
        </w:rPr>
        <w:t xml:space="preserve"> امید برای پیدا کردن آن تلاش می‌کند</w:t>
      </w:r>
      <w:r w:rsidR="00E75C3F">
        <w:rPr>
          <w:rFonts w:hint="cs"/>
          <w:rtl/>
        </w:rPr>
        <w:t xml:space="preserve">، نیز صدق می‌کند. </w:t>
      </w:r>
      <w:r w:rsidR="00225B7A">
        <w:rPr>
          <w:rFonts w:hint="cs"/>
          <w:rtl/>
        </w:rPr>
        <w:t xml:space="preserve"> </w:t>
      </w:r>
      <w:r w:rsidR="003E2E1A">
        <w:rPr>
          <w:rFonts w:hint="cs"/>
          <w:rtl/>
        </w:rPr>
        <w:t xml:space="preserve"> </w:t>
      </w:r>
    </w:p>
    <w:p w14:paraId="729DB0F2" w14:textId="1F77CCD5" w:rsidR="00FC3A6D" w:rsidRDefault="00FC3A6D" w:rsidP="00FB3948">
      <w:pPr>
        <w:jc w:val="both"/>
        <w:rPr>
          <w:rtl/>
        </w:rPr>
      </w:pPr>
      <w:r>
        <w:rPr>
          <w:rFonts w:hint="cs"/>
          <w:rtl/>
        </w:rPr>
        <w:t>ثانیا: مفاد عرفی «</w:t>
      </w:r>
      <w:r w:rsidR="00225B7A">
        <w:rPr>
          <w:rFonts w:hint="cs"/>
          <w:rtl/>
        </w:rPr>
        <w:t>افل</w:t>
      </w:r>
      <w:r>
        <w:rPr>
          <w:rFonts w:hint="cs"/>
          <w:rtl/>
        </w:rPr>
        <w:t>ا</w:t>
      </w:r>
      <w:r w:rsidR="00A92D9A">
        <w:rPr>
          <w:rFonts w:hint="cs"/>
          <w:rtl/>
        </w:rPr>
        <w:t xml:space="preserve"> </w:t>
      </w:r>
      <w:r>
        <w:rPr>
          <w:rFonts w:hint="cs"/>
          <w:rtl/>
        </w:rPr>
        <w:t>تعلمت</w:t>
      </w:r>
      <w:r w:rsidR="00225B7A">
        <w:rPr>
          <w:rFonts w:hint="cs"/>
          <w:rtl/>
        </w:rPr>
        <w:t xml:space="preserve"> حتی تعمل</w:t>
      </w:r>
      <w:r>
        <w:rPr>
          <w:rFonts w:hint="cs"/>
          <w:rtl/>
        </w:rPr>
        <w:t>»</w:t>
      </w:r>
      <w:r w:rsidR="004A02C8">
        <w:rPr>
          <w:rFonts w:hint="cs"/>
          <w:rtl/>
        </w:rPr>
        <w:t xml:space="preserve"> </w:t>
      </w:r>
      <w:r>
        <w:rPr>
          <w:rFonts w:hint="cs"/>
          <w:rtl/>
        </w:rPr>
        <w:t>عدم معذریت جهل است.</w:t>
      </w:r>
      <w:r w:rsidR="00E85D74">
        <w:rPr>
          <w:rFonts w:hint="cs"/>
          <w:rtl/>
        </w:rPr>
        <w:t xml:space="preserve"> و هیچ‌بهانه‌ای از جمله این که «شاید در صورت فحص اماره‌ای در معرض وصول پیدا نشود» پذیرفته نیست. و</w:t>
      </w:r>
      <w:r>
        <w:rPr>
          <w:rFonts w:hint="cs"/>
          <w:rtl/>
        </w:rPr>
        <w:t xml:space="preserve"> این که گفته شود </w:t>
      </w:r>
      <w:r w:rsidR="00F403C4">
        <w:rPr>
          <w:rFonts w:hint="cs"/>
          <w:rtl/>
        </w:rPr>
        <w:t>«</w:t>
      </w:r>
      <w:r>
        <w:rPr>
          <w:rFonts w:hint="cs"/>
          <w:rtl/>
        </w:rPr>
        <w:t>جهل با استصحاب عدم وجود اماره در معرض وصول</w:t>
      </w:r>
      <w:r w:rsidR="00C91CCD">
        <w:rPr>
          <w:rFonts w:hint="cs"/>
          <w:rtl/>
        </w:rPr>
        <w:t>،</w:t>
      </w:r>
      <w:r>
        <w:rPr>
          <w:rFonts w:hint="cs"/>
          <w:rtl/>
        </w:rPr>
        <w:t xml:space="preserve"> عذر است</w:t>
      </w:r>
      <w:r w:rsidR="00F403C4">
        <w:rPr>
          <w:rFonts w:hint="cs"/>
          <w:rtl/>
        </w:rPr>
        <w:t>»</w:t>
      </w:r>
      <w:r>
        <w:rPr>
          <w:rFonts w:hint="cs"/>
          <w:rtl/>
        </w:rPr>
        <w:t xml:space="preserve"> خلاف مفاد روایت است.</w:t>
      </w:r>
    </w:p>
    <w:p w14:paraId="70D9A4E9" w14:textId="73E750D0" w:rsidR="001546AA" w:rsidRDefault="001546AA" w:rsidP="00FB3948">
      <w:pPr>
        <w:pStyle w:val="Heading1"/>
        <w:rPr>
          <w:rtl/>
        </w:rPr>
      </w:pPr>
      <w:bookmarkStart w:id="46" w:name="_Toc215582314"/>
      <w:r>
        <w:rPr>
          <w:rFonts w:hint="cs"/>
          <w:rtl/>
        </w:rPr>
        <w:t xml:space="preserve">مختار استاد حفظه الله در </w:t>
      </w:r>
      <w:r w:rsidR="00340587">
        <w:rPr>
          <w:rFonts w:hint="cs"/>
          <w:rtl/>
        </w:rPr>
        <w:t>شمول ادله‌ی برائت نسبت به شبهات حکمیه قبل از فحص</w:t>
      </w:r>
      <w:bookmarkEnd w:id="46"/>
    </w:p>
    <w:p w14:paraId="53461B37" w14:textId="51F9C4AB" w:rsidR="00E43656" w:rsidRDefault="00E43656" w:rsidP="00FB3948">
      <w:pPr>
        <w:jc w:val="both"/>
        <w:rPr>
          <w:rtl/>
        </w:rPr>
      </w:pPr>
      <w:r>
        <w:rPr>
          <w:rFonts w:hint="cs"/>
          <w:rtl/>
        </w:rPr>
        <w:t>بنابراین اولا: دلیل برائت نسبت به</w:t>
      </w:r>
      <w:r w:rsidR="00BA2D76">
        <w:rPr>
          <w:rFonts w:hint="cs"/>
          <w:rtl/>
        </w:rPr>
        <w:t xml:space="preserve"> </w:t>
      </w:r>
      <w:r>
        <w:rPr>
          <w:rFonts w:hint="cs"/>
          <w:rtl/>
        </w:rPr>
        <w:t>شبهات حکمیه قبل از فحص</w:t>
      </w:r>
      <w:r w:rsidR="001B0B70">
        <w:rPr>
          <w:rFonts w:hint="cs"/>
          <w:rtl/>
        </w:rPr>
        <w:t xml:space="preserve"> به سبب ارتکاز </w:t>
      </w:r>
      <w:r w:rsidR="00BA2D76">
        <w:rPr>
          <w:rFonts w:hint="cs"/>
          <w:rtl/>
        </w:rPr>
        <w:t>واضح عقلایی بر لزوم فصح</w:t>
      </w:r>
      <w:r w:rsidR="00C91CCD">
        <w:rPr>
          <w:rFonts w:hint="cs"/>
          <w:rtl/>
        </w:rPr>
        <w:t>،</w:t>
      </w:r>
      <w:r>
        <w:rPr>
          <w:rFonts w:hint="cs"/>
          <w:rtl/>
        </w:rPr>
        <w:t xml:space="preserve"> مقتضی</w:t>
      </w:r>
      <w:r w:rsidR="00BA2D76">
        <w:rPr>
          <w:rFonts w:hint="cs"/>
          <w:rtl/>
        </w:rPr>
        <w:t xml:space="preserve"> شمول</w:t>
      </w:r>
      <w:r>
        <w:rPr>
          <w:rFonts w:hint="cs"/>
          <w:rtl/>
        </w:rPr>
        <w:t xml:space="preserve"> ندارد</w:t>
      </w:r>
      <w:r w:rsidR="00BA2D76">
        <w:rPr>
          <w:rFonts w:hint="cs"/>
          <w:rtl/>
        </w:rPr>
        <w:t xml:space="preserve">. </w:t>
      </w:r>
      <w:r>
        <w:rPr>
          <w:rFonts w:hint="cs"/>
          <w:rtl/>
        </w:rPr>
        <w:t>بلکه عدم شمول بعضی از ادله‌ی برائت مثل «</w:t>
      </w:r>
      <w:r w:rsidRPr="0088521C">
        <w:rPr>
          <w:rFonts w:hint="cs"/>
          <w:color w:val="008000"/>
          <w:rtl/>
        </w:rPr>
        <w:t>ما حجب الله</w:t>
      </w:r>
      <w:r>
        <w:rPr>
          <w:rFonts w:hint="cs"/>
          <w:rtl/>
        </w:rPr>
        <w:t xml:space="preserve">» نسبت به شبهات قبل از فحص واضح است </w:t>
      </w:r>
      <w:r w:rsidR="0088521C">
        <w:rPr>
          <w:rFonts w:hint="cs"/>
          <w:rtl/>
        </w:rPr>
        <w:t xml:space="preserve">زیرا در صورت وجود اماره در معرض وصول «ما حجب الله» صدق نمی‌کند. </w:t>
      </w:r>
      <w:r>
        <w:rPr>
          <w:rFonts w:hint="cs"/>
          <w:rtl/>
        </w:rPr>
        <w:t xml:space="preserve">ثانیا: بر فرض که اطلاق داشته باشد دلیل وجوب تعلم مخصص آن است. </w:t>
      </w:r>
    </w:p>
    <w:p w14:paraId="324B0E63" w14:textId="6EFA6F5D" w:rsidR="00695D5F" w:rsidRDefault="00695D5F" w:rsidP="00FB3948">
      <w:pPr>
        <w:pStyle w:val="Heading1"/>
        <w:rPr>
          <w:rtl/>
        </w:rPr>
      </w:pPr>
      <w:bookmarkStart w:id="47" w:name="_Toc215582315"/>
      <w:r>
        <w:rPr>
          <w:rFonts w:hint="cs"/>
          <w:rtl/>
        </w:rPr>
        <w:t>بیان مرحوم آقای خویی در جمع بین اخبار برائت و اخبار احتیاط</w:t>
      </w:r>
      <w:bookmarkEnd w:id="47"/>
    </w:p>
    <w:p w14:paraId="6883F135" w14:textId="7E006E98" w:rsidR="00E43656" w:rsidRDefault="00E43656" w:rsidP="00FB3948">
      <w:pPr>
        <w:jc w:val="both"/>
        <w:rPr>
          <w:rtl/>
        </w:rPr>
      </w:pPr>
      <w:r>
        <w:rPr>
          <w:rFonts w:hint="cs"/>
          <w:rtl/>
        </w:rPr>
        <w:t>مرحوم آقای خویی با این که در دوره‌ی اخیر در سند حدیث رفع اشکال می‌کند و دلیل ایشان بر برائت حدیث</w:t>
      </w:r>
      <w:r w:rsidR="005A63D0">
        <w:rPr>
          <w:rFonts w:hint="cs"/>
          <w:rtl/>
        </w:rPr>
        <w:t xml:space="preserve"> </w:t>
      </w:r>
      <w:r w:rsidR="005A63D0" w:rsidRPr="00EF10F0">
        <w:rPr>
          <w:rFonts w:ascii="NoorLotus" w:hAnsi="NoorLotus"/>
          <w:rtl/>
          <w:lang w:bidi="ar-SA"/>
        </w:rPr>
        <w:t>«</w:t>
      </w:r>
      <w:r w:rsidR="005A63D0" w:rsidRPr="00EF10F0">
        <w:rPr>
          <w:rFonts w:ascii="NoorLotus" w:hAnsi="NoorLotus"/>
          <w:color w:val="008000"/>
          <w:rtl/>
        </w:rPr>
        <w:t>مَا حَجَبَ‏ اللَّهُ عِلْمَهُ عَنِ الْعِبَادِ فَهُوَ مَوْضُوعٌ عَنْهُمْ</w:t>
      </w:r>
      <w:r w:rsidR="005A63D0" w:rsidRPr="00EF10F0">
        <w:rPr>
          <w:rFonts w:ascii="NoorLotus" w:hAnsi="NoorLotus"/>
          <w:rtl/>
          <w:lang w:bidi="ar-SA"/>
        </w:rPr>
        <w:t>»</w:t>
      </w:r>
      <w:r w:rsidR="005A63D0" w:rsidRPr="00EF10F0">
        <w:rPr>
          <w:rStyle w:val="FootnoteReference"/>
          <w:rFonts w:cs="NoorLotus"/>
          <w:rtl/>
          <w:lang w:bidi="ar-SA"/>
        </w:rPr>
        <w:footnoteReference w:id="6"/>
      </w:r>
      <w:r w:rsidR="005A63D0" w:rsidRPr="00EF10F0">
        <w:rPr>
          <w:rFonts w:ascii="NoorLotus" w:hAnsi="NoorLotus"/>
          <w:rtl/>
          <w:lang w:bidi="ar-SA"/>
        </w:rPr>
        <w:t xml:space="preserve"> </w:t>
      </w:r>
      <w:r>
        <w:rPr>
          <w:rFonts w:hint="cs"/>
          <w:rtl/>
        </w:rPr>
        <w:t xml:space="preserve"> است</w:t>
      </w:r>
      <w:r w:rsidR="005944EA">
        <w:rPr>
          <w:rStyle w:val="FootnoteReference"/>
          <w:rFonts w:ascii="Scheherazade" w:hAnsi="Scheherazade"/>
          <w:sz w:val="34"/>
          <w:rtl/>
        </w:rPr>
        <w:footnoteReference w:id="7"/>
      </w:r>
      <w:r>
        <w:rPr>
          <w:rFonts w:hint="cs"/>
          <w:rtl/>
        </w:rPr>
        <w:t>. و</w:t>
      </w:r>
      <w:r w:rsidR="003A34DC">
        <w:rPr>
          <w:rFonts w:hint="cs"/>
          <w:rtl/>
        </w:rPr>
        <w:t xml:space="preserve">لی از باب مماشات یا هر جهت دیگر فرموده‌اند: «از طریق دیگر می‌توان لزوم احتیاط را اثبات کرد. و </w:t>
      </w:r>
      <w:r>
        <w:rPr>
          <w:rFonts w:hint="cs"/>
          <w:rtl/>
        </w:rPr>
        <w:t xml:space="preserve">آن این است که در صورت شمول حدیث رفع نسبت به شبهات حکمیه قبل از فحص نسبت آن با بعضی از اخبار احتیاط مثل </w:t>
      </w:r>
      <w:r w:rsidR="005944EA" w:rsidRPr="00ED2982">
        <w:rPr>
          <w:rtl/>
        </w:rPr>
        <w:t>«</w:t>
      </w:r>
      <w:r w:rsidR="005944EA" w:rsidRPr="00756410">
        <w:rPr>
          <w:color w:val="008000"/>
          <w:rtl/>
        </w:rPr>
        <w:t>اخوک دینک فاحتط لدینک</w:t>
      </w:r>
      <w:r w:rsidR="005944EA" w:rsidRPr="00ED2982">
        <w:rPr>
          <w:rtl/>
        </w:rPr>
        <w:t>»</w:t>
      </w:r>
      <w:r w:rsidR="001F0861" w:rsidRPr="00750DFF">
        <w:rPr>
          <w:rStyle w:val="FootnoteReference"/>
          <w:rFonts w:cs="NoorLotus"/>
          <w:color w:val="0070C0"/>
          <w:sz w:val="30"/>
          <w:szCs w:val="30"/>
          <w:rtl/>
        </w:rPr>
        <w:footnoteReference w:id="8"/>
      </w:r>
      <w:r w:rsidR="005944EA" w:rsidRPr="00ED2982">
        <w:rPr>
          <w:rtl/>
        </w:rPr>
        <w:t xml:space="preserve"> </w:t>
      </w:r>
      <w:r w:rsidR="00C91CCD">
        <w:rPr>
          <w:rFonts w:hint="cs"/>
          <w:rtl/>
        </w:rPr>
        <w:t xml:space="preserve">و </w:t>
      </w:r>
      <w:r w:rsidR="005944EA" w:rsidRPr="003E3D64">
        <w:rPr>
          <w:color w:val="0070C0"/>
          <w:rtl/>
        </w:rPr>
        <w:t>«</w:t>
      </w:r>
      <w:r w:rsidR="005944EA" w:rsidRPr="00756410">
        <w:rPr>
          <w:color w:val="008000"/>
          <w:rtl/>
        </w:rPr>
        <w:t>قف عند الشبهه</w:t>
      </w:r>
      <w:r w:rsidR="00756410">
        <w:rPr>
          <w:rFonts w:hint="cs"/>
          <w:color w:val="0070C0"/>
          <w:rtl/>
        </w:rPr>
        <w:t>»</w:t>
      </w:r>
      <w:r w:rsidR="005944EA" w:rsidRPr="003E3D64">
        <w:rPr>
          <w:rStyle w:val="FootnoteReference"/>
          <w:rFonts w:cs="NoorLotus"/>
          <w:color w:val="0070C0"/>
          <w:rtl/>
        </w:rPr>
        <w:footnoteReference w:id="9"/>
      </w:r>
      <w:r w:rsidR="005944EA" w:rsidRPr="003E3D64">
        <w:rPr>
          <w:rtl/>
        </w:rPr>
        <w:t xml:space="preserve"> </w:t>
      </w:r>
      <w:r>
        <w:rPr>
          <w:rFonts w:hint="cs"/>
          <w:rtl/>
        </w:rPr>
        <w:t>تباین است ولی بعضی از اخبار احتیاط مثل ذیل مقبوله عمر بن حنظ</w:t>
      </w:r>
      <w:r w:rsidR="00AB3F9A">
        <w:rPr>
          <w:rFonts w:hint="cs"/>
          <w:rtl/>
        </w:rPr>
        <w:t>ل</w:t>
      </w:r>
      <w:r>
        <w:rPr>
          <w:rFonts w:hint="cs"/>
          <w:rtl/>
        </w:rPr>
        <w:t>ه مختص به شبهات حکمیه قبل از فحص است</w:t>
      </w:r>
      <w:r w:rsidR="00DE4A3A">
        <w:rPr>
          <w:rFonts w:hint="cs"/>
          <w:rtl/>
        </w:rPr>
        <w:t xml:space="preserve"> </w:t>
      </w:r>
      <w:r w:rsidR="00811F82">
        <w:rPr>
          <w:rFonts w:hint="cs"/>
          <w:rtl/>
        </w:rPr>
        <w:t>که امام علیه السلام بعد از تعارض دلیلین و فقد مرجحات فرمودند</w:t>
      </w:r>
      <w:r w:rsidR="00AD3B68">
        <w:rPr>
          <w:rFonts w:hint="cs"/>
          <w:rtl/>
        </w:rPr>
        <w:t>:</w:t>
      </w:r>
      <w:r w:rsidR="00811F82">
        <w:rPr>
          <w:rFonts w:hint="cs"/>
          <w:rtl/>
        </w:rPr>
        <w:t xml:space="preserve"> </w:t>
      </w:r>
      <w:r w:rsidR="00811F82" w:rsidRPr="00811F82">
        <w:rPr>
          <w:rFonts w:hint="cs"/>
          <w:rtl/>
        </w:rPr>
        <w:t>«</w:t>
      </w:r>
      <w:r w:rsidR="00811F82" w:rsidRPr="00811F82">
        <w:rPr>
          <w:rFonts w:ascii="Scheherazade" w:hAnsi="Scheherazade" w:hint="cs"/>
          <w:color w:val="008000"/>
          <w:sz w:val="34"/>
          <w:rtl/>
        </w:rPr>
        <w:t>اذا کان کذلک فارجه حتی تلقی امامک</w:t>
      </w:r>
      <w:r w:rsidR="00811F82" w:rsidRPr="00811F82">
        <w:rPr>
          <w:rFonts w:ascii="Scheherazade" w:hAnsi="Scheherazade" w:hint="cs"/>
          <w:sz w:val="34"/>
          <w:rtl/>
        </w:rPr>
        <w:t>»</w:t>
      </w:r>
      <w:r w:rsidR="00811F82">
        <w:rPr>
          <w:rStyle w:val="FootnoteReference"/>
          <w:rFonts w:eastAsia="Times New Roman" w:cs="Times New Roman"/>
          <w:sz w:val="24"/>
          <w:szCs w:val="24"/>
          <w:rtl/>
        </w:rPr>
        <w:footnoteReference w:id="10"/>
      </w:r>
      <w:r w:rsidR="00811F82" w:rsidRPr="00AD3B68">
        <w:rPr>
          <w:rFonts w:hint="cs"/>
          <w:rtl/>
        </w:rPr>
        <w:t xml:space="preserve"> یعنی</w:t>
      </w:r>
      <w:r w:rsidR="00811F82">
        <w:rPr>
          <w:rFonts w:ascii="Scheherazade" w:hAnsi="Scheherazade" w:hint="cs"/>
          <w:color w:val="0070C0"/>
          <w:sz w:val="34"/>
          <w:rtl/>
        </w:rPr>
        <w:t xml:space="preserve"> </w:t>
      </w:r>
      <w:r w:rsidR="00AB3F9A">
        <w:rPr>
          <w:rFonts w:hint="cs"/>
          <w:rtl/>
        </w:rPr>
        <w:t>احتیاط کن تا امام را ببینی</w:t>
      </w:r>
      <w:r>
        <w:rPr>
          <w:rFonts w:hint="cs"/>
          <w:rtl/>
        </w:rPr>
        <w:t xml:space="preserve"> و از ایشان سوال کنی. </w:t>
      </w:r>
      <w:r w:rsidR="00811F82">
        <w:rPr>
          <w:rFonts w:hint="cs"/>
          <w:rtl/>
        </w:rPr>
        <w:t xml:space="preserve">و این دلالت بر وجوب احتیاط در شبهات حکمیه قبل از فحص دارد. </w:t>
      </w:r>
      <w:r>
        <w:rPr>
          <w:rFonts w:hint="cs"/>
          <w:rtl/>
        </w:rPr>
        <w:t>این خطاب منشأ انقلاب نسبت می‌شود</w:t>
      </w:r>
      <w:r w:rsidR="00CF71C8">
        <w:rPr>
          <w:rFonts w:hint="cs"/>
          <w:rtl/>
        </w:rPr>
        <w:t xml:space="preserve"> زیرا مخصص </w:t>
      </w:r>
      <w:r>
        <w:rPr>
          <w:rFonts w:hint="cs"/>
          <w:rtl/>
        </w:rPr>
        <w:t xml:space="preserve">حدیث رفع </w:t>
      </w:r>
      <w:r w:rsidR="00EC2C7F">
        <w:rPr>
          <w:rFonts w:hint="cs"/>
          <w:rtl/>
        </w:rPr>
        <w:t xml:space="preserve">است. </w:t>
      </w:r>
      <w:r>
        <w:rPr>
          <w:rFonts w:hint="cs"/>
          <w:rtl/>
        </w:rPr>
        <w:t xml:space="preserve">و بعد از </w:t>
      </w:r>
      <w:r w:rsidR="00EC2C7F">
        <w:rPr>
          <w:rFonts w:hint="cs"/>
          <w:rtl/>
        </w:rPr>
        <w:t xml:space="preserve">این </w:t>
      </w:r>
      <w:r>
        <w:rPr>
          <w:rFonts w:hint="cs"/>
          <w:rtl/>
        </w:rPr>
        <w:t xml:space="preserve">مورد حدیث رفع </w:t>
      </w:r>
      <w:r w:rsidR="00AB3F9A">
        <w:rPr>
          <w:rFonts w:hint="cs"/>
          <w:rtl/>
        </w:rPr>
        <w:t xml:space="preserve">تنها شامل </w:t>
      </w:r>
      <w:r>
        <w:rPr>
          <w:rFonts w:hint="cs"/>
          <w:rtl/>
        </w:rPr>
        <w:t>شبهات حکمیه بعد از فحص</w:t>
      </w:r>
      <w:r w:rsidR="00AB3F9A">
        <w:rPr>
          <w:rFonts w:hint="cs"/>
          <w:rtl/>
        </w:rPr>
        <w:t xml:space="preserve"> و</w:t>
      </w:r>
      <w:r w:rsidR="00AB3F9A" w:rsidRPr="00AB3F9A">
        <w:rPr>
          <w:rFonts w:hint="cs"/>
          <w:rtl/>
        </w:rPr>
        <w:t xml:space="preserve"> </w:t>
      </w:r>
      <w:r w:rsidR="00AB3F9A">
        <w:rPr>
          <w:rFonts w:hint="cs"/>
          <w:rtl/>
        </w:rPr>
        <w:t>شبهات موضوعیه</w:t>
      </w:r>
      <w:r>
        <w:rPr>
          <w:rFonts w:hint="cs"/>
          <w:rtl/>
        </w:rPr>
        <w:t xml:space="preserve"> </w:t>
      </w:r>
      <w:r w:rsidR="00AB3F9A">
        <w:rPr>
          <w:rFonts w:hint="cs"/>
          <w:rtl/>
        </w:rPr>
        <w:t>شده و</w:t>
      </w:r>
      <w:r>
        <w:rPr>
          <w:rFonts w:hint="cs"/>
          <w:rtl/>
        </w:rPr>
        <w:t xml:space="preserve"> طایفه‌ی اول از اخبار احتیاط که مطلق بود را تخصیص می‌زند.</w:t>
      </w:r>
      <w:r w:rsidR="00DB5B15">
        <w:rPr>
          <w:rFonts w:hint="cs"/>
          <w:rtl/>
        </w:rPr>
        <w:t>»</w:t>
      </w:r>
      <w:r w:rsidR="00DB5B15" w:rsidRPr="00DB5B15">
        <w:rPr>
          <w:vertAlign w:val="superscript"/>
          <w:rtl/>
          <w:lang w:bidi="ar"/>
        </w:rPr>
        <w:t xml:space="preserve"> </w:t>
      </w:r>
      <w:r w:rsidR="00DB5B15" w:rsidRPr="005944EA">
        <w:rPr>
          <w:vertAlign w:val="superscript"/>
          <w:rtl/>
          <w:lang w:bidi="ar"/>
        </w:rPr>
        <w:footnoteReference w:id="11"/>
      </w:r>
    </w:p>
    <w:p w14:paraId="5D9524A1" w14:textId="77E935B8" w:rsidR="00E43656" w:rsidRDefault="00471B46" w:rsidP="00FB3948">
      <w:pPr>
        <w:jc w:val="both"/>
        <w:rPr>
          <w:rtl/>
        </w:rPr>
      </w:pPr>
      <w:r>
        <w:rPr>
          <w:rFonts w:hint="cs"/>
          <w:rtl/>
        </w:rPr>
        <w:t>مناسب بود ایشان بفرمایند: «</w:t>
      </w:r>
      <w:r w:rsidR="00E43656">
        <w:rPr>
          <w:rFonts w:hint="cs"/>
          <w:rtl/>
        </w:rPr>
        <w:t xml:space="preserve">بر فرض عدم صحت انقلاب نسبت </w:t>
      </w:r>
      <w:r w:rsidR="00A36AFB">
        <w:rPr>
          <w:rFonts w:hint="cs"/>
          <w:rtl/>
        </w:rPr>
        <w:t>نیز حدیث رفع با طایفه‌ی اول از اخبار احتیاط تعارض و تساقط می‌کند و به طایفه‌ی دوم از اخبار احتیاط</w:t>
      </w:r>
      <w:r w:rsidR="00DB5B15">
        <w:rPr>
          <w:rFonts w:hint="cs"/>
          <w:rtl/>
        </w:rPr>
        <w:t xml:space="preserve"> دال بر وجوب احتیاط در شبهات حکمیه</w:t>
      </w:r>
      <w:r w:rsidR="002D3F66">
        <w:rPr>
          <w:rFonts w:hint="cs"/>
          <w:rtl/>
        </w:rPr>
        <w:t xml:space="preserve"> قبل از فحص</w:t>
      </w:r>
      <w:r w:rsidR="00DB5B15">
        <w:rPr>
          <w:rFonts w:hint="cs"/>
          <w:rtl/>
        </w:rPr>
        <w:t xml:space="preserve"> که معارض نیز ندارند،</w:t>
      </w:r>
      <w:r w:rsidR="00A36AFB">
        <w:rPr>
          <w:rFonts w:hint="cs"/>
          <w:rtl/>
        </w:rPr>
        <w:t xml:space="preserve"> رجوع می‌شود و اثبات عدم جریان برائت در شبهات حکمیه قبل از فحص می‌شود</w:t>
      </w:r>
      <w:r w:rsidR="00DB5B15">
        <w:rPr>
          <w:rFonts w:hint="cs"/>
          <w:rtl/>
        </w:rPr>
        <w:t>»</w:t>
      </w:r>
      <w:r w:rsidR="00A36AFB">
        <w:rPr>
          <w:rFonts w:hint="cs"/>
          <w:rtl/>
        </w:rPr>
        <w:t xml:space="preserve">. </w:t>
      </w:r>
    </w:p>
    <w:p w14:paraId="48BECA4E" w14:textId="54DDEBFC" w:rsidR="002D3F66" w:rsidRDefault="002D3F66" w:rsidP="00FB3948">
      <w:pPr>
        <w:pStyle w:val="Heading2"/>
        <w:rPr>
          <w:rtl/>
        </w:rPr>
      </w:pPr>
      <w:bookmarkStart w:id="48" w:name="_Toc215582316"/>
      <w:r>
        <w:rPr>
          <w:rFonts w:hint="cs"/>
          <w:rtl/>
        </w:rPr>
        <w:lastRenderedPageBreak/>
        <w:t>اشکال به بیان مرحوم آقای خویی</w:t>
      </w:r>
      <w:bookmarkEnd w:id="48"/>
    </w:p>
    <w:p w14:paraId="7AE0BAA4" w14:textId="10C49D98" w:rsidR="002D3F66" w:rsidRDefault="00DB5B15" w:rsidP="00FB3948">
      <w:pPr>
        <w:jc w:val="both"/>
        <w:rPr>
          <w:rtl/>
        </w:rPr>
      </w:pPr>
      <w:r>
        <w:rPr>
          <w:rFonts w:hint="cs"/>
          <w:rtl/>
        </w:rPr>
        <w:t>این بیان تمام نیست زیرا</w:t>
      </w:r>
      <w:r w:rsidR="008F082E">
        <w:rPr>
          <w:rFonts w:hint="cs"/>
          <w:rtl/>
        </w:rPr>
        <w:t>:</w:t>
      </w:r>
    </w:p>
    <w:p w14:paraId="7668A7C3" w14:textId="77777777" w:rsidR="008F082E" w:rsidRDefault="00DB5B15" w:rsidP="00FB3948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A36AFB">
        <w:rPr>
          <w:rFonts w:hint="cs"/>
          <w:rtl/>
        </w:rPr>
        <w:t>اولا: از نظر ایشان مقبوله عمر بن حنظله سندا ضعیف ا</w:t>
      </w:r>
      <w:r w:rsidR="00350681">
        <w:rPr>
          <w:rFonts w:hint="cs"/>
          <w:rtl/>
        </w:rPr>
        <w:t>ست.</w:t>
      </w:r>
      <w:r w:rsidR="00350681" w:rsidRPr="00350681">
        <w:rPr>
          <w:vertAlign w:val="superscript"/>
          <w:rtl/>
          <w:lang w:bidi="ar"/>
        </w:rPr>
        <w:footnoteReference w:id="12"/>
      </w:r>
      <w:r w:rsidR="00A36AFB">
        <w:rPr>
          <w:rFonts w:hint="cs"/>
          <w:rtl/>
        </w:rPr>
        <w:t xml:space="preserve"> </w:t>
      </w:r>
    </w:p>
    <w:p w14:paraId="61DE8378" w14:textId="77777777" w:rsidR="008F082E" w:rsidRDefault="00A36AFB" w:rsidP="00FB3948">
      <w:pPr>
        <w:jc w:val="both"/>
        <w:rPr>
          <w:rtl/>
        </w:rPr>
      </w:pPr>
      <w:r>
        <w:rPr>
          <w:rFonts w:hint="cs"/>
          <w:rtl/>
        </w:rPr>
        <w:t xml:space="preserve">ثانیا: بر فرض </w:t>
      </w:r>
      <w:r w:rsidR="00DB5B15">
        <w:rPr>
          <w:rFonts w:hint="cs"/>
          <w:rtl/>
        </w:rPr>
        <w:t>اعتبار</w:t>
      </w:r>
      <w:r>
        <w:rPr>
          <w:rFonts w:hint="cs"/>
          <w:rtl/>
        </w:rPr>
        <w:t xml:space="preserve"> سند مقبوله -که به نظر ما</w:t>
      </w:r>
      <w:r w:rsidR="00DB5B15">
        <w:rPr>
          <w:rFonts w:hint="cs"/>
          <w:rtl/>
        </w:rPr>
        <w:t xml:space="preserve"> معتبر</w:t>
      </w:r>
      <w:r>
        <w:rPr>
          <w:rFonts w:hint="cs"/>
          <w:rtl/>
        </w:rPr>
        <w:t xml:space="preserve"> است </w:t>
      </w:r>
      <w:r w:rsidR="00BC7880">
        <w:rPr>
          <w:rFonts w:hint="cs"/>
          <w:rtl/>
        </w:rPr>
        <w:t xml:space="preserve">یا به این جهت که عمر بن حنظله از مشایخ صفوان است یا </w:t>
      </w:r>
      <w:r w:rsidR="00F77305">
        <w:rPr>
          <w:rFonts w:hint="cs"/>
          <w:rtl/>
        </w:rPr>
        <w:t>یزید بن خلیفه</w:t>
      </w:r>
      <w:r w:rsidR="002D3F66">
        <w:rPr>
          <w:rFonts w:hint="cs"/>
          <w:rtl/>
        </w:rPr>
        <w:t xml:space="preserve"> که</w:t>
      </w:r>
      <w:r w:rsidR="00F77305">
        <w:rPr>
          <w:rFonts w:hint="cs"/>
          <w:rtl/>
        </w:rPr>
        <w:t xml:space="preserve"> از مشایخ صفوان است روایتی د</w:t>
      </w:r>
      <w:r w:rsidR="002D3F66">
        <w:rPr>
          <w:rFonts w:hint="cs"/>
          <w:rtl/>
        </w:rPr>
        <w:t>ر وثاقت عمر بن حنظله نقل می‌کند</w:t>
      </w:r>
      <w:r>
        <w:rPr>
          <w:rFonts w:hint="cs"/>
          <w:rtl/>
        </w:rPr>
        <w:t xml:space="preserve">- ولی مورد آن </w:t>
      </w:r>
      <w:r w:rsidR="00F77305">
        <w:rPr>
          <w:rFonts w:hint="cs"/>
          <w:rtl/>
        </w:rPr>
        <w:t>قضا</w:t>
      </w:r>
      <w:r>
        <w:rPr>
          <w:rFonts w:hint="cs"/>
          <w:rtl/>
        </w:rPr>
        <w:t xml:space="preserve"> و تنازع است «</w:t>
      </w:r>
      <w:r w:rsidRPr="0080550B">
        <w:rPr>
          <w:rFonts w:hint="cs"/>
          <w:color w:val="008000"/>
          <w:rtl/>
        </w:rPr>
        <w:t>رجلان بینهما منازعة</w:t>
      </w:r>
      <w:r w:rsidR="00DF3BDE" w:rsidRPr="0080550B">
        <w:rPr>
          <w:rFonts w:hint="cs"/>
          <w:color w:val="008000"/>
          <w:rtl/>
        </w:rPr>
        <w:t xml:space="preserve"> فی دین او میراث</w:t>
      </w:r>
      <w:r>
        <w:rPr>
          <w:rFonts w:hint="cs"/>
          <w:rtl/>
        </w:rPr>
        <w:t>» و در این مورد</w:t>
      </w:r>
      <w:r w:rsidR="00DF3BDE">
        <w:rPr>
          <w:rFonts w:hint="cs"/>
          <w:rtl/>
        </w:rPr>
        <w:t xml:space="preserve"> در فرض عدم فصل خصومت</w:t>
      </w:r>
      <w:r>
        <w:rPr>
          <w:rFonts w:hint="cs"/>
          <w:rtl/>
        </w:rPr>
        <w:t xml:space="preserve"> غیر از احتیاط </w:t>
      </w:r>
      <w:r w:rsidR="00370B42">
        <w:rPr>
          <w:rFonts w:hint="cs"/>
          <w:rtl/>
        </w:rPr>
        <w:t xml:space="preserve">و توقف پرونده و ارجاع آن به امام علیه السلام </w:t>
      </w:r>
      <w:r>
        <w:rPr>
          <w:rFonts w:hint="cs"/>
          <w:rtl/>
        </w:rPr>
        <w:t>راه دیگری وجود ندارد.</w:t>
      </w:r>
    </w:p>
    <w:p w14:paraId="2AEB9F15" w14:textId="7957EAE8" w:rsidR="00A36AFB" w:rsidRDefault="00A36AFB" w:rsidP="00FB3948">
      <w:pPr>
        <w:jc w:val="both"/>
        <w:rPr>
          <w:rtl/>
        </w:rPr>
      </w:pPr>
      <w:r>
        <w:rPr>
          <w:rFonts w:hint="cs"/>
          <w:rtl/>
        </w:rPr>
        <w:t xml:space="preserve"> ثالثا: </w:t>
      </w:r>
      <w:r w:rsidR="00310235">
        <w:rPr>
          <w:rFonts w:hint="cs"/>
          <w:rtl/>
        </w:rPr>
        <w:t>«ارجحه</w:t>
      </w:r>
      <w:r w:rsidR="00016165">
        <w:rPr>
          <w:rFonts w:hint="cs"/>
          <w:rtl/>
        </w:rPr>
        <w:t xml:space="preserve"> حتی تلقی امامک</w:t>
      </w:r>
      <w:r w:rsidR="00310235">
        <w:rPr>
          <w:rFonts w:hint="cs"/>
          <w:rtl/>
        </w:rPr>
        <w:t>» اختصاص به شبهات حکمیه قبل از فحص ندارد زیرا لقای امام علیه السلام ولو در عصر حضور برای همه میسور نیست تا گفته شود «چون شما قادر بر سوال</w:t>
      </w:r>
      <w:r w:rsidR="002B7EA8">
        <w:rPr>
          <w:rFonts w:hint="cs"/>
          <w:rtl/>
        </w:rPr>
        <w:t xml:space="preserve"> از امام علیه السلام هستی ولو فعلا هیچ روایتی ندارد نسبت ب</w:t>
      </w:r>
      <w:r w:rsidR="008F082E">
        <w:rPr>
          <w:rFonts w:hint="cs"/>
          <w:rtl/>
        </w:rPr>
        <w:t>ه شما این شبهه‌ی قبل از فحص است</w:t>
      </w:r>
      <w:r w:rsidR="00310235">
        <w:rPr>
          <w:rFonts w:hint="cs"/>
          <w:rtl/>
        </w:rPr>
        <w:t>»</w:t>
      </w:r>
      <w:r w:rsidR="002B7EA8">
        <w:rPr>
          <w:rFonts w:hint="cs"/>
          <w:rtl/>
        </w:rPr>
        <w:t xml:space="preserve"> بلکه فقیهان</w:t>
      </w:r>
      <w:r w:rsidR="00310235">
        <w:rPr>
          <w:rFonts w:hint="cs"/>
          <w:rtl/>
        </w:rPr>
        <w:t xml:space="preserve"> </w:t>
      </w:r>
      <w:r w:rsidR="002B7EA8">
        <w:rPr>
          <w:rFonts w:hint="cs"/>
          <w:rtl/>
        </w:rPr>
        <w:t>مسأله را از</w:t>
      </w:r>
      <w:r w:rsidR="00310235">
        <w:rPr>
          <w:rFonts w:hint="cs"/>
          <w:rtl/>
        </w:rPr>
        <w:t xml:space="preserve"> منابعی که در دسترس شیعه بود</w:t>
      </w:r>
      <w:r w:rsidR="002B7EA8">
        <w:rPr>
          <w:rFonts w:hint="cs"/>
          <w:rtl/>
        </w:rPr>
        <w:t xml:space="preserve"> تحقیق و بررسی می‌کردند و بعد فتوا می‌دادند</w:t>
      </w:r>
      <w:r w:rsidR="00DD4AD3">
        <w:rPr>
          <w:rFonts w:hint="cs"/>
          <w:rtl/>
        </w:rPr>
        <w:t xml:space="preserve"> و چنین نبود که در هر مسأله‌ای </w:t>
      </w:r>
      <w:r w:rsidR="00310235">
        <w:rPr>
          <w:rFonts w:hint="cs"/>
          <w:rtl/>
        </w:rPr>
        <w:t xml:space="preserve">امکان عرفی وصول به امام علیه السلام </w:t>
      </w:r>
      <w:r w:rsidR="00DD4AD3">
        <w:rPr>
          <w:rFonts w:hint="cs"/>
          <w:rtl/>
        </w:rPr>
        <w:t>باشد</w:t>
      </w:r>
      <w:r w:rsidR="00310235">
        <w:rPr>
          <w:rFonts w:hint="cs"/>
          <w:rtl/>
        </w:rPr>
        <w:t xml:space="preserve">. </w:t>
      </w:r>
    </w:p>
    <w:p w14:paraId="33FF70B8" w14:textId="43E2F641" w:rsidR="00310235" w:rsidRDefault="00310235" w:rsidP="00FB3948">
      <w:pPr>
        <w:jc w:val="both"/>
        <w:rPr>
          <w:rtl/>
        </w:rPr>
      </w:pPr>
      <w:r>
        <w:rPr>
          <w:rFonts w:hint="cs"/>
          <w:rtl/>
        </w:rPr>
        <w:t xml:space="preserve">رابعا: </w:t>
      </w:r>
      <w:r w:rsidR="00373A36">
        <w:rPr>
          <w:rFonts w:hint="cs"/>
          <w:rtl/>
        </w:rPr>
        <w:t>طبق مبانی ایشان نیاز به این مطالب نیست زیرا حدیث حجب که مختص به شبهات حکمیه بدویه بعد از فحص است</w:t>
      </w:r>
      <w:r w:rsidR="00FD595C">
        <w:rPr>
          <w:rFonts w:hint="cs"/>
          <w:rtl/>
        </w:rPr>
        <w:t xml:space="preserve"> و</w:t>
      </w:r>
      <w:r w:rsidR="00373A36">
        <w:rPr>
          <w:rFonts w:hint="cs"/>
          <w:rtl/>
        </w:rPr>
        <w:t xml:space="preserve"> </w:t>
      </w:r>
      <w:r w:rsidR="00FD595C">
        <w:rPr>
          <w:rFonts w:hint="cs"/>
          <w:rtl/>
        </w:rPr>
        <w:t xml:space="preserve">از نظر ایشان سندا و دلالتا تمام است </w:t>
      </w:r>
      <w:r w:rsidR="00373A36">
        <w:rPr>
          <w:rFonts w:hint="cs"/>
          <w:rtl/>
        </w:rPr>
        <w:t xml:space="preserve">مخصص ادله‌ی وجوب مطلق احتیاط است و این منشأ انقلاب نسبت می‌شود. </w:t>
      </w:r>
    </w:p>
    <w:p w14:paraId="0980B8FD" w14:textId="13CA91C3" w:rsidR="00373A36" w:rsidRDefault="00701B2D" w:rsidP="00FB3948">
      <w:pPr>
        <w:pStyle w:val="Heading1"/>
        <w:jc w:val="both"/>
        <w:rPr>
          <w:rtl/>
        </w:rPr>
      </w:pPr>
      <w:bookmarkStart w:id="49" w:name="_Toc215582317"/>
      <w:r>
        <w:rPr>
          <w:rFonts w:hint="cs"/>
          <w:rtl/>
        </w:rPr>
        <w:t xml:space="preserve">بررسی لزوم </w:t>
      </w:r>
      <w:r w:rsidR="00373A36">
        <w:rPr>
          <w:rFonts w:hint="cs"/>
          <w:rtl/>
        </w:rPr>
        <w:t>فحص در شبهات موضوعیه</w:t>
      </w:r>
      <w:bookmarkEnd w:id="49"/>
    </w:p>
    <w:p w14:paraId="28AD3D35" w14:textId="5A367386" w:rsidR="00695D5F" w:rsidRPr="00695D5F" w:rsidRDefault="00695D5F" w:rsidP="00FB3948">
      <w:pPr>
        <w:pStyle w:val="Heading2"/>
        <w:jc w:val="both"/>
        <w:rPr>
          <w:rtl/>
        </w:rPr>
      </w:pPr>
      <w:bookmarkStart w:id="50" w:name="_Toc215582318"/>
      <w:r>
        <w:rPr>
          <w:rFonts w:hint="cs"/>
          <w:rtl/>
        </w:rPr>
        <w:t>عدم جریان برائت عقلیه در شبهات موضوعیه قبل از فحص</w:t>
      </w:r>
      <w:bookmarkEnd w:id="50"/>
    </w:p>
    <w:p w14:paraId="0CB5B8EC" w14:textId="71E69019" w:rsidR="00373A36" w:rsidRDefault="00474AE1" w:rsidP="00FB3948">
      <w:pPr>
        <w:jc w:val="both"/>
        <w:rPr>
          <w:rtl/>
          <w:lang w:bidi="ar-SA"/>
        </w:rPr>
      </w:pPr>
      <w:r>
        <w:rPr>
          <w:rFonts w:hint="cs"/>
          <w:rtl/>
        </w:rPr>
        <w:t xml:space="preserve">عدم جریان </w:t>
      </w:r>
      <w:r w:rsidR="00373A36">
        <w:rPr>
          <w:rFonts w:hint="cs"/>
          <w:rtl/>
          <w:lang w:bidi="ar-SA"/>
        </w:rPr>
        <w:t xml:space="preserve">برائت عقلیه در شبهات موضوعیه قبل از فحص </w:t>
      </w:r>
      <w:r>
        <w:rPr>
          <w:rFonts w:hint="cs"/>
          <w:rtl/>
          <w:lang w:bidi="ar-SA"/>
        </w:rPr>
        <w:t xml:space="preserve">-بر فرض صحت </w:t>
      </w:r>
      <w:r w:rsidR="00701B2D">
        <w:rPr>
          <w:rFonts w:hint="cs"/>
          <w:rtl/>
          <w:lang w:bidi="ar-SA"/>
        </w:rPr>
        <w:t>برائت عقلیه</w:t>
      </w:r>
      <w:r>
        <w:rPr>
          <w:rFonts w:hint="cs"/>
          <w:rtl/>
          <w:lang w:bidi="ar-SA"/>
        </w:rPr>
        <w:t xml:space="preserve">- واضح است </w:t>
      </w:r>
      <w:r w:rsidR="00373A36">
        <w:rPr>
          <w:rFonts w:hint="cs"/>
          <w:rtl/>
          <w:lang w:bidi="ar-SA"/>
        </w:rPr>
        <w:t>زیر</w:t>
      </w:r>
      <w:r>
        <w:rPr>
          <w:rFonts w:hint="cs"/>
          <w:rtl/>
          <w:lang w:bidi="ar-SA"/>
        </w:rPr>
        <w:t xml:space="preserve">ا مورد آن شبهات موضوعیه قبل از فحص نیست چون </w:t>
      </w:r>
      <w:r w:rsidR="00373A36">
        <w:rPr>
          <w:rFonts w:hint="cs"/>
          <w:rtl/>
          <w:lang w:bidi="ar-SA"/>
        </w:rPr>
        <w:t xml:space="preserve">عقاب کسی که </w:t>
      </w:r>
      <w:r w:rsidR="002E0C40">
        <w:rPr>
          <w:rFonts w:hint="cs"/>
          <w:rtl/>
          <w:lang w:bidi="ar-SA"/>
        </w:rPr>
        <w:t xml:space="preserve">می‌داند شارع فرمود «لاتأکل لحم الخنزیر» و </w:t>
      </w:r>
      <w:r w:rsidR="007E09B1">
        <w:rPr>
          <w:rFonts w:hint="cs"/>
          <w:rtl/>
          <w:lang w:bidi="ar-SA"/>
        </w:rPr>
        <w:t xml:space="preserve">با </w:t>
      </w:r>
      <w:r w:rsidR="00C87B72">
        <w:rPr>
          <w:rFonts w:hint="cs"/>
          <w:rtl/>
          <w:lang w:bidi="ar-SA"/>
        </w:rPr>
        <w:t xml:space="preserve">یک </w:t>
      </w:r>
      <w:r w:rsidR="00701B2D">
        <w:rPr>
          <w:rFonts w:hint="cs"/>
          <w:rtl/>
          <w:lang w:bidi="ar-SA"/>
        </w:rPr>
        <w:t>سؤ</w:t>
      </w:r>
      <w:r w:rsidR="00373A36">
        <w:rPr>
          <w:rFonts w:hint="cs"/>
          <w:rtl/>
          <w:lang w:bidi="ar-SA"/>
        </w:rPr>
        <w:t xml:space="preserve">ال متوجه می‌شود که </w:t>
      </w:r>
      <w:r w:rsidR="007E09B1">
        <w:rPr>
          <w:rFonts w:hint="cs"/>
          <w:rtl/>
          <w:lang w:bidi="ar-SA"/>
        </w:rPr>
        <w:t>این گوشت</w:t>
      </w:r>
      <w:r w:rsidR="00701B2D">
        <w:rPr>
          <w:rFonts w:hint="cs"/>
          <w:rtl/>
          <w:lang w:bidi="ar-SA"/>
        </w:rPr>
        <w:t>،</w:t>
      </w:r>
      <w:r w:rsidR="007E09B1">
        <w:rPr>
          <w:rFonts w:hint="cs"/>
          <w:rtl/>
          <w:lang w:bidi="ar-SA"/>
        </w:rPr>
        <w:t xml:space="preserve"> </w:t>
      </w:r>
      <w:r w:rsidR="00373A36">
        <w:rPr>
          <w:rFonts w:hint="cs"/>
          <w:rtl/>
          <w:lang w:bidi="ar-SA"/>
        </w:rPr>
        <w:t xml:space="preserve">لحم خنزیر است یا </w:t>
      </w:r>
      <w:r w:rsidR="00701B2D">
        <w:rPr>
          <w:rFonts w:hint="cs"/>
          <w:rtl/>
          <w:lang w:bidi="ar-SA"/>
        </w:rPr>
        <w:t>خیر</w:t>
      </w:r>
      <w:r w:rsidR="00373A36">
        <w:rPr>
          <w:rFonts w:hint="cs"/>
          <w:rtl/>
          <w:lang w:bidi="ar-SA"/>
        </w:rPr>
        <w:t xml:space="preserve">، </w:t>
      </w:r>
      <w:r w:rsidR="00701B2D">
        <w:rPr>
          <w:rFonts w:hint="cs"/>
          <w:rtl/>
          <w:lang w:bidi="ar-SA"/>
        </w:rPr>
        <w:t>ولی سؤ</w:t>
      </w:r>
      <w:r w:rsidR="00C87B72">
        <w:rPr>
          <w:rFonts w:hint="cs"/>
          <w:rtl/>
          <w:lang w:bidi="ar-SA"/>
        </w:rPr>
        <w:t>ال نکند و آن را بخورد،</w:t>
      </w:r>
      <w:r w:rsidR="00132065">
        <w:rPr>
          <w:rFonts w:hint="cs"/>
          <w:rtl/>
          <w:lang w:bidi="ar-SA"/>
        </w:rPr>
        <w:t xml:space="preserve"> عقلا قبیح نیست و</w:t>
      </w:r>
      <w:r w:rsidR="00C87B72">
        <w:rPr>
          <w:rFonts w:hint="cs"/>
          <w:rtl/>
          <w:lang w:bidi="ar-SA"/>
        </w:rPr>
        <w:t xml:space="preserve"> </w:t>
      </w:r>
      <w:r w:rsidR="00373A36">
        <w:rPr>
          <w:rFonts w:hint="cs"/>
          <w:rtl/>
          <w:lang w:bidi="ar-SA"/>
        </w:rPr>
        <w:t xml:space="preserve">ارتکاز عقلاء بر برائت در شبهات موضوعیه قبل از فحص </w:t>
      </w:r>
      <w:r w:rsidR="00632E7D">
        <w:rPr>
          <w:rFonts w:hint="cs"/>
          <w:rtl/>
          <w:lang w:bidi="ar-SA"/>
        </w:rPr>
        <w:t xml:space="preserve">نیز </w:t>
      </w:r>
      <w:r w:rsidR="00373A36">
        <w:rPr>
          <w:rFonts w:hint="cs"/>
          <w:rtl/>
          <w:lang w:bidi="ar-SA"/>
        </w:rPr>
        <w:t xml:space="preserve">واضح نیست. </w:t>
      </w:r>
    </w:p>
    <w:p w14:paraId="31B8B6F5" w14:textId="00BBC828" w:rsidR="00695D5F" w:rsidRDefault="00695D5F" w:rsidP="00FB3948">
      <w:pPr>
        <w:pStyle w:val="Heading2"/>
        <w:jc w:val="both"/>
        <w:rPr>
          <w:rtl/>
        </w:rPr>
      </w:pPr>
      <w:bookmarkStart w:id="51" w:name="_Toc215582319"/>
      <w:r>
        <w:rPr>
          <w:rFonts w:hint="cs"/>
          <w:rtl/>
        </w:rPr>
        <w:t>بررسی جریان برائت شرعیه نسبت به شبهات موضوعیه قبل از فحص</w:t>
      </w:r>
      <w:bookmarkEnd w:id="51"/>
    </w:p>
    <w:p w14:paraId="067D4A26" w14:textId="2E615C9E" w:rsidR="00373A36" w:rsidRDefault="00373A36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بعضی ادعا کردند که برائت شرعیه از شبهات موضوعیه قبل از فحص انصراف دارد و بیا</w:t>
      </w:r>
      <w:r w:rsidR="004364FC">
        <w:rPr>
          <w:rFonts w:hint="cs"/>
          <w:rtl/>
          <w:lang w:bidi="ar-SA"/>
        </w:rPr>
        <w:t>نات مختلفی برای آن بیان شده است.</w:t>
      </w:r>
    </w:p>
    <w:p w14:paraId="682AE97F" w14:textId="3987013C" w:rsidR="004364FC" w:rsidRDefault="004364FC" w:rsidP="00FB3948">
      <w:pPr>
        <w:pStyle w:val="Heading2"/>
        <w:rPr>
          <w:rtl/>
        </w:rPr>
      </w:pPr>
      <w:bookmarkStart w:id="52" w:name="_Toc215582320"/>
      <w:r>
        <w:rPr>
          <w:rFonts w:hint="cs"/>
          <w:rtl/>
        </w:rPr>
        <w:lastRenderedPageBreak/>
        <w:t>بیانات وارد شده بر</w:t>
      </w:r>
      <w:r w:rsidRPr="004364FC">
        <w:rPr>
          <w:rFonts w:hint="cs"/>
          <w:rtl/>
        </w:rPr>
        <w:t xml:space="preserve"> </w:t>
      </w:r>
      <w:r>
        <w:rPr>
          <w:rFonts w:hint="cs"/>
          <w:rtl/>
        </w:rPr>
        <w:t>انصراف ادله‌ی برائت از شبهات موضوعیه قبل از فحص</w:t>
      </w:r>
      <w:bookmarkEnd w:id="52"/>
      <w:r>
        <w:rPr>
          <w:rFonts w:hint="cs"/>
          <w:rtl/>
        </w:rPr>
        <w:t xml:space="preserve"> </w:t>
      </w:r>
    </w:p>
    <w:p w14:paraId="77955750" w14:textId="5B120BE7" w:rsidR="000A630F" w:rsidRDefault="000A630F" w:rsidP="00FB3948">
      <w:pPr>
        <w:pStyle w:val="Heading2"/>
        <w:jc w:val="both"/>
        <w:rPr>
          <w:rtl/>
        </w:rPr>
      </w:pPr>
      <w:bookmarkStart w:id="53" w:name="_Toc215582321"/>
      <w:r>
        <w:rPr>
          <w:rFonts w:hint="cs"/>
          <w:rtl/>
        </w:rPr>
        <w:t>بیان اول</w:t>
      </w:r>
      <w:r w:rsidR="004364FC">
        <w:rPr>
          <w:rFonts w:hint="cs"/>
          <w:rtl/>
        </w:rPr>
        <w:t>: سببیت ارتکاز عقلاء برای انصراف</w:t>
      </w:r>
      <w:bookmarkEnd w:id="53"/>
    </w:p>
    <w:p w14:paraId="6055BD28" w14:textId="77777777" w:rsidR="00C469FD" w:rsidRDefault="00373A36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مرحوم آقای میلانی فرموده‌اند: «</w:t>
      </w:r>
      <w:r w:rsidR="007F62B7">
        <w:rPr>
          <w:rFonts w:hint="cs"/>
          <w:rtl/>
          <w:lang w:bidi="ar-SA"/>
        </w:rPr>
        <w:t xml:space="preserve">ارتکاز عقلاء </w:t>
      </w:r>
      <w:r w:rsidR="00CE2249">
        <w:rPr>
          <w:rFonts w:hint="cs"/>
          <w:rtl/>
          <w:lang w:bidi="ar-SA"/>
        </w:rPr>
        <w:t xml:space="preserve">بر جریان برائت در شبهات موضوعیه بعد از فحص </w:t>
      </w:r>
      <w:r>
        <w:rPr>
          <w:rFonts w:hint="cs"/>
          <w:rtl/>
          <w:lang w:bidi="ar-SA"/>
        </w:rPr>
        <w:t>موجب انصراف حدیث رفع به همین مورد ارتکاز عقلاء می‌شود.»</w:t>
      </w:r>
    </w:p>
    <w:p w14:paraId="5E5F9088" w14:textId="666DB803" w:rsidR="004364FC" w:rsidRDefault="004364FC" w:rsidP="00FB3948">
      <w:pPr>
        <w:pStyle w:val="Heading3"/>
        <w:rPr>
          <w:rtl/>
          <w:lang w:bidi="ar-SA"/>
        </w:rPr>
      </w:pPr>
      <w:bookmarkStart w:id="54" w:name="_Toc215582322"/>
      <w:r>
        <w:rPr>
          <w:rFonts w:hint="cs"/>
          <w:rtl/>
          <w:lang w:bidi="ar-SA"/>
        </w:rPr>
        <w:t>اشکال به بیان اول</w:t>
      </w:r>
      <w:bookmarkEnd w:id="54"/>
    </w:p>
    <w:p w14:paraId="2B531D83" w14:textId="15D109F5" w:rsidR="00756FF0" w:rsidRDefault="00C469FD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این بیان تمام نیست زیرا اولا: </w:t>
      </w:r>
      <w:r w:rsidR="00373A36">
        <w:rPr>
          <w:rFonts w:hint="cs"/>
          <w:rtl/>
          <w:lang w:bidi="ar-SA"/>
        </w:rPr>
        <w:t>ارتکاز عقلاء در شبهات موضوعیه قبل از فحص روشن نیست</w:t>
      </w:r>
      <w:r w:rsidR="00CA2C09">
        <w:rPr>
          <w:rFonts w:hint="cs"/>
          <w:rtl/>
          <w:lang w:bidi="ar-SA"/>
        </w:rPr>
        <w:t>.</w:t>
      </w:r>
      <w:r w:rsidR="00373A36">
        <w:rPr>
          <w:rFonts w:hint="cs"/>
          <w:rtl/>
          <w:lang w:bidi="ar-SA"/>
        </w:rPr>
        <w:t xml:space="preserve"> ثانیا: بر فرض که ارتکاز عقلاء بر عدم </w:t>
      </w:r>
      <w:r w:rsidR="000F34BD">
        <w:rPr>
          <w:rFonts w:hint="cs"/>
          <w:rtl/>
          <w:lang w:bidi="ar-SA"/>
        </w:rPr>
        <w:t>ج</w:t>
      </w:r>
      <w:r w:rsidR="00373A36">
        <w:rPr>
          <w:rFonts w:hint="cs"/>
          <w:rtl/>
          <w:lang w:bidi="ar-SA"/>
        </w:rPr>
        <w:t xml:space="preserve">ریان برائت در شبهات موضوعیه قبل از فحص </w:t>
      </w:r>
      <w:r w:rsidR="00CA2C09">
        <w:rPr>
          <w:rFonts w:hint="cs"/>
          <w:rtl/>
          <w:lang w:bidi="ar-SA"/>
        </w:rPr>
        <w:t xml:space="preserve">روشن باشد </w:t>
      </w:r>
      <w:r w:rsidR="00373A36">
        <w:rPr>
          <w:rFonts w:hint="cs"/>
          <w:rtl/>
          <w:lang w:bidi="ar-SA"/>
        </w:rPr>
        <w:t>ولی ارتکاز استنکاری بر جریان آن توسط شارع ندارند</w:t>
      </w:r>
      <w:r w:rsidR="00390F67">
        <w:rPr>
          <w:rFonts w:hint="cs"/>
          <w:rtl/>
          <w:lang w:bidi="ar-SA"/>
        </w:rPr>
        <w:t xml:space="preserve"> عقلاء می‌گویند: «ما در چنین موردی برائت نداریم اما شارع مقدس می‌تواند داشته باشد و ما با آن مشکلی نداریم»</w:t>
      </w:r>
      <w:r w:rsidR="00373A36">
        <w:rPr>
          <w:rFonts w:hint="cs"/>
          <w:rtl/>
          <w:lang w:bidi="ar-SA"/>
        </w:rPr>
        <w:t>.</w:t>
      </w:r>
    </w:p>
    <w:p w14:paraId="5FE6C067" w14:textId="77777777" w:rsidR="00F947B8" w:rsidRDefault="00373A36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 </w:t>
      </w:r>
      <w:r w:rsidR="00756FF0">
        <w:rPr>
          <w:rFonts w:hint="cs"/>
          <w:rtl/>
          <w:lang w:bidi="ar-SA"/>
        </w:rPr>
        <w:t xml:space="preserve">گاهی </w:t>
      </w:r>
      <w:r w:rsidR="00E007CE">
        <w:rPr>
          <w:rFonts w:hint="cs"/>
          <w:rtl/>
          <w:lang w:bidi="ar-SA"/>
        </w:rPr>
        <w:t xml:space="preserve">دو نکته‌ی مقابل هم </w:t>
      </w:r>
      <w:r w:rsidR="00756FF0">
        <w:rPr>
          <w:rFonts w:hint="cs"/>
          <w:rtl/>
          <w:lang w:bidi="ar-SA"/>
        </w:rPr>
        <w:t xml:space="preserve">وجود دارد و قدر متیقن </w:t>
      </w:r>
      <w:r w:rsidR="00F947B8">
        <w:rPr>
          <w:rFonts w:hint="cs"/>
          <w:rtl/>
          <w:lang w:bidi="ar-SA"/>
        </w:rPr>
        <w:t xml:space="preserve">این است که این </w:t>
      </w:r>
      <w:r w:rsidR="00756FF0">
        <w:rPr>
          <w:rFonts w:hint="cs"/>
          <w:rtl/>
          <w:lang w:bidi="ar-SA"/>
        </w:rPr>
        <w:t>خطاب</w:t>
      </w:r>
      <w:r w:rsidR="00F947B8">
        <w:rPr>
          <w:rFonts w:hint="cs"/>
          <w:rtl/>
          <w:lang w:bidi="ar-SA"/>
        </w:rPr>
        <w:t>،</w:t>
      </w:r>
      <w:r w:rsidR="00756FF0">
        <w:rPr>
          <w:rFonts w:hint="cs"/>
          <w:rtl/>
          <w:lang w:bidi="ar-SA"/>
        </w:rPr>
        <w:t xml:space="preserve"> </w:t>
      </w:r>
      <w:r w:rsidR="00D86D3B">
        <w:rPr>
          <w:rFonts w:hint="cs"/>
          <w:rtl/>
          <w:lang w:bidi="ar-SA"/>
        </w:rPr>
        <w:t>نکته‌ی عقلائیه‌ای که یکی از این دو نکته است</w:t>
      </w:r>
      <w:r w:rsidR="00F947B8">
        <w:rPr>
          <w:rFonts w:hint="cs"/>
          <w:rtl/>
          <w:lang w:bidi="ar-SA"/>
        </w:rPr>
        <w:t xml:space="preserve"> را بیان می‌کند</w:t>
      </w:r>
      <w:r w:rsidR="00D86D3B">
        <w:rPr>
          <w:rFonts w:hint="cs"/>
          <w:rtl/>
          <w:lang w:bidi="ar-SA"/>
        </w:rPr>
        <w:t xml:space="preserve"> ا</w:t>
      </w:r>
      <w:r w:rsidR="00E007CE">
        <w:rPr>
          <w:rFonts w:hint="cs"/>
          <w:rtl/>
          <w:lang w:bidi="ar-SA"/>
        </w:rPr>
        <w:t xml:space="preserve">ین که گفته شود «نکته‌ی دوم را </w:t>
      </w:r>
      <w:r w:rsidR="00390F67">
        <w:rPr>
          <w:rFonts w:hint="cs"/>
          <w:rtl/>
          <w:lang w:bidi="ar-SA"/>
        </w:rPr>
        <w:t xml:space="preserve">هم </w:t>
      </w:r>
      <w:r w:rsidR="00E007CE">
        <w:rPr>
          <w:rFonts w:hint="cs"/>
          <w:rtl/>
          <w:lang w:bidi="ar-SA"/>
        </w:rPr>
        <w:t>بیان می‌کند</w:t>
      </w:r>
      <w:r w:rsidR="00E12D12">
        <w:rPr>
          <w:rFonts w:hint="cs"/>
          <w:rtl/>
          <w:lang w:bidi="ar-SA"/>
        </w:rPr>
        <w:t>»</w:t>
      </w:r>
      <w:r w:rsidR="00E007CE">
        <w:rPr>
          <w:rFonts w:hint="cs"/>
          <w:rtl/>
          <w:lang w:bidi="ar-SA"/>
        </w:rPr>
        <w:t xml:space="preserve"> نیاز به قرینه دارد. مثل قاعده‌ی میسور که </w:t>
      </w:r>
      <w:r w:rsidR="00E12D12">
        <w:rPr>
          <w:rFonts w:hint="cs"/>
          <w:rtl/>
          <w:lang w:bidi="ar-SA"/>
        </w:rPr>
        <w:t>نکته‌ی عقلائیه</w:t>
      </w:r>
      <w:r w:rsidR="00F947B8">
        <w:rPr>
          <w:rFonts w:hint="cs"/>
          <w:rtl/>
          <w:lang w:bidi="ar-SA"/>
        </w:rPr>
        <w:t xml:space="preserve"> در آن</w:t>
      </w:r>
      <w:r w:rsidR="00E12D12">
        <w:rPr>
          <w:rFonts w:hint="cs"/>
          <w:rtl/>
          <w:lang w:bidi="ar-SA"/>
        </w:rPr>
        <w:t xml:space="preserve"> این است که در موارد احراز تعدد مطلوب در صورت عجز از تحصیل مطلوب کامل </w:t>
      </w:r>
      <w:r w:rsidR="00825F1B">
        <w:rPr>
          <w:rFonts w:hint="cs"/>
          <w:rtl/>
          <w:lang w:bidi="ar-SA"/>
        </w:rPr>
        <w:t xml:space="preserve">باید </w:t>
      </w:r>
      <w:r w:rsidR="00E007CE">
        <w:rPr>
          <w:rFonts w:hint="cs"/>
          <w:rtl/>
          <w:lang w:bidi="ar-SA"/>
        </w:rPr>
        <w:t xml:space="preserve">اصل مطلوب تحصیل </w:t>
      </w:r>
      <w:r w:rsidR="00825F1B">
        <w:rPr>
          <w:rFonts w:hint="cs"/>
          <w:rtl/>
          <w:lang w:bidi="ar-SA"/>
        </w:rPr>
        <w:t>شود.</w:t>
      </w:r>
      <w:r w:rsidR="00E007CE">
        <w:rPr>
          <w:rFonts w:hint="cs"/>
          <w:rtl/>
          <w:lang w:bidi="ar-SA"/>
        </w:rPr>
        <w:t xml:space="preserve"> </w:t>
      </w:r>
      <w:r w:rsidR="00F947B8">
        <w:rPr>
          <w:rFonts w:hint="cs"/>
          <w:rtl/>
          <w:lang w:bidi="ar-SA"/>
        </w:rPr>
        <w:t xml:space="preserve">مثلا </w:t>
      </w:r>
      <w:r w:rsidR="00E007CE">
        <w:rPr>
          <w:rFonts w:hint="cs"/>
          <w:rtl/>
          <w:lang w:bidi="ar-SA"/>
        </w:rPr>
        <w:t xml:space="preserve">وقتی نمی‌توانید از مهمان با چند نوع میوه پذیرایی کنید </w:t>
      </w:r>
      <w:r w:rsidR="002E10C4">
        <w:rPr>
          <w:rFonts w:hint="cs"/>
          <w:rtl/>
          <w:lang w:bidi="ar-SA"/>
        </w:rPr>
        <w:t>با</w:t>
      </w:r>
      <w:r w:rsidR="00E007CE">
        <w:rPr>
          <w:rFonts w:hint="cs"/>
          <w:rtl/>
          <w:lang w:bidi="ar-SA"/>
        </w:rPr>
        <w:t xml:space="preserve"> یک نوع میوه از ایشان پذیرایی کنید. </w:t>
      </w:r>
      <w:r w:rsidR="00F947B8">
        <w:rPr>
          <w:rFonts w:hint="cs"/>
          <w:rtl/>
          <w:lang w:bidi="ar-SA"/>
        </w:rPr>
        <w:t>اما</w:t>
      </w:r>
      <w:r w:rsidR="002E10C4">
        <w:rPr>
          <w:rFonts w:hint="cs"/>
          <w:rtl/>
          <w:lang w:bidi="ar-SA"/>
        </w:rPr>
        <w:t xml:space="preserve"> </w:t>
      </w:r>
      <w:r w:rsidR="00B47556">
        <w:rPr>
          <w:rFonts w:hint="cs"/>
          <w:rtl/>
          <w:lang w:bidi="ar-SA"/>
        </w:rPr>
        <w:t>ظهور در این که</w:t>
      </w:r>
      <w:r w:rsidR="002E10C4">
        <w:rPr>
          <w:rFonts w:hint="cs"/>
          <w:rtl/>
          <w:lang w:bidi="ar-SA"/>
        </w:rPr>
        <w:t xml:space="preserve"> شارع علاوه ب</w:t>
      </w:r>
      <w:r w:rsidR="00A37055">
        <w:rPr>
          <w:rFonts w:hint="cs"/>
          <w:rtl/>
          <w:lang w:bidi="ar-SA"/>
        </w:rPr>
        <w:t xml:space="preserve">ر این نکته اینکه «تمام احکام ارتباطی </w:t>
      </w:r>
      <w:r w:rsidR="00B47556">
        <w:rPr>
          <w:rFonts w:hint="cs"/>
          <w:rtl/>
          <w:lang w:bidi="ar-SA"/>
        </w:rPr>
        <w:t xml:space="preserve">من به نحو تعدد مطلوب است» را نیز بیان کرده است، ندارد. </w:t>
      </w:r>
    </w:p>
    <w:p w14:paraId="0FA36B4A" w14:textId="532BAE88" w:rsidR="00373A36" w:rsidRDefault="00E007CE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ولی </w:t>
      </w:r>
      <w:r w:rsidR="00113D35">
        <w:rPr>
          <w:rFonts w:hint="cs"/>
          <w:rtl/>
          <w:lang w:bidi="ar-SA"/>
        </w:rPr>
        <w:t xml:space="preserve">گاهی </w:t>
      </w:r>
      <w:r>
        <w:rPr>
          <w:rFonts w:hint="cs"/>
          <w:rtl/>
          <w:lang w:bidi="ar-SA"/>
        </w:rPr>
        <w:t xml:space="preserve">یک نکته است و بحث در سعه و ضیق آن است مثل تسهیل </w:t>
      </w:r>
      <w:r w:rsidR="00113D35">
        <w:rPr>
          <w:rFonts w:hint="cs"/>
          <w:rtl/>
          <w:lang w:bidi="ar-SA"/>
        </w:rPr>
        <w:t xml:space="preserve">در شبهات که یک نکته است ولی این که چه مقدار تسهیل در شبهات است </w:t>
      </w:r>
      <w:r>
        <w:rPr>
          <w:rFonts w:hint="cs"/>
          <w:rtl/>
          <w:lang w:bidi="ar-SA"/>
        </w:rPr>
        <w:t>عقلاء یک مقدار تسهیل دار</w:t>
      </w:r>
      <w:r w:rsidR="00EC1B16">
        <w:rPr>
          <w:rFonts w:hint="cs"/>
          <w:rtl/>
          <w:lang w:bidi="ar-SA"/>
        </w:rPr>
        <w:t>ن</w:t>
      </w:r>
      <w:r>
        <w:rPr>
          <w:rFonts w:hint="cs"/>
          <w:rtl/>
          <w:lang w:bidi="ar-SA"/>
        </w:rPr>
        <w:t xml:space="preserve">د ولی </w:t>
      </w:r>
      <w:r w:rsidR="00286183">
        <w:rPr>
          <w:rFonts w:hint="cs"/>
          <w:rtl/>
          <w:lang w:bidi="ar-SA"/>
        </w:rPr>
        <w:t xml:space="preserve">این </w:t>
      </w:r>
      <w:r>
        <w:rPr>
          <w:rFonts w:hint="cs"/>
          <w:rtl/>
          <w:lang w:bidi="ar-SA"/>
        </w:rPr>
        <w:t>که شارع توسعه در این نکته داشته باشد</w:t>
      </w:r>
      <w:r w:rsidR="00286183">
        <w:rPr>
          <w:rFonts w:hint="cs"/>
          <w:rtl/>
          <w:lang w:bidi="ar-SA"/>
        </w:rPr>
        <w:t xml:space="preserve"> از نظر عقلاء اشکال ندارد. نکته‌ی قبح کذب در نظر </w:t>
      </w:r>
      <w:r>
        <w:rPr>
          <w:rFonts w:hint="cs"/>
          <w:rtl/>
          <w:lang w:bidi="ar-SA"/>
        </w:rPr>
        <w:t xml:space="preserve">عقلاء </w:t>
      </w:r>
      <w:r w:rsidR="00286183">
        <w:rPr>
          <w:rFonts w:hint="cs"/>
          <w:rtl/>
          <w:lang w:bidi="ar-SA"/>
        </w:rPr>
        <w:t xml:space="preserve">مضر بودن به غیر است </w:t>
      </w:r>
      <w:r>
        <w:rPr>
          <w:rFonts w:hint="cs"/>
          <w:rtl/>
          <w:lang w:bidi="ar-SA"/>
        </w:rPr>
        <w:t xml:space="preserve">ولی بیش از آن را قبیح نمی‌دانند وقتی از مهمان سوال می‌شود که نهار خوردی او </w:t>
      </w:r>
      <w:r w:rsidR="00045F6F">
        <w:rPr>
          <w:rFonts w:hint="cs"/>
          <w:rtl/>
          <w:lang w:bidi="ar-SA"/>
        </w:rPr>
        <w:t xml:space="preserve">-در حالی که نهار نخورده- </w:t>
      </w:r>
      <w:r>
        <w:rPr>
          <w:rFonts w:hint="cs"/>
          <w:rtl/>
          <w:lang w:bidi="ar-SA"/>
        </w:rPr>
        <w:t xml:space="preserve">می‌گوید بله از نظر عقلاء </w:t>
      </w:r>
      <w:r w:rsidR="00965C65">
        <w:rPr>
          <w:rFonts w:hint="cs"/>
          <w:rtl/>
          <w:lang w:bidi="ar-SA"/>
        </w:rPr>
        <w:t xml:space="preserve">این کار ایشان قبیح نیست </w:t>
      </w:r>
      <w:r w:rsidR="00045F6F">
        <w:rPr>
          <w:rFonts w:hint="cs"/>
          <w:rtl/>
          <w:lang w:bidi="ar-SA"/>
        </w:rPr>
        <w:t>اما</w:t>
      </w:r>
      <w:r w:rsidR="00965C65">
        <w:rPr>
          <w:rFonts w:hint="cs"/>
          <w:rtl/>
          <w:lang w:bidi="ar-SA"/>
        </w:rPr>
        <w:t xml:space="preserve"> بر فرض </w:t>
      </w:r>
      <w:r w:rsidR="002E69D0">
        <w:rPr>
          <w:rFonts w:hint="cs"/>
          <w:rtl/>
          <w:lang w:bidi="ar-SA"/>
        </w:rPr>
        <w:t>ا</w:t>
      </w:r>
      <w:r w:rsidR="00045F6F">
        <w:rPr>
          <w:rFonts w:hint="cs"/>
          <w:rtl/>
          <w:lang w:bidi="ar-SA"/>
        </w:rPr>
        <w:t>طلاق دلیل حرمت کذب این درو</w:t>
      </w:r>
      <w:r w:rsidR="00965C65">
        <w:rPr>
          <w:rFonts w:hint="cs"/>
          <w:rtl/>
          <w:lang w:bidi="ar-SA"/>
        </w:rPr>
        <w:t>غ او حرام است</w:t>
      </w:r>
      <w:r w:rsidR="00B6548C">
        <w:rPr>
          <w:rFonts w:hint="cs"/>
          <w:rtl/>
          <w:lang w:bidi="ar-SA"/>
        </w:rPr>
        <w:t>.</w:t>
      </w:r>
      <w:r w:rsidR="00B354CA">
        <w:rPr>
          <w:rFonts w:hint="cs"/>
          <w:rtl/>
          <w:lang w:bidi="ar-SA"/>
        </w:rPr>
        <w:t xml:space="preserve"> و در این موارد که بحث در سعه و ضیق نکته است اطلاق‌گیری می‌شود.</w:t>
      </w:r>
      <w:r w:rsidR="00965C65">
        <w:rPr>
          <w:rFonts w:hint="cs"/>
          <w:rtl/>
          <w:lang w:bidi="ar-SA"/>
        </w:rPr>
        <w:t xml:space="preserve"> </w:t>
      </w:r>
    </w:p>
    <w:p w14:paraId="3A6C7D42" w14:textId="4DD37E95" w:rsidR="00965C65" w:rsidRDefault="00965C65" w:rsidP="00FB3948">
      <w:pPr>
        <w:pStyle w:val="Heading2"/>
        <w:jc w:val="both"/>
        <w:rPr>
          <w:rtl/>
        </w:rPr>
      </w:pPr>
      <w:bookmarkStart w:id="55" w:name="_Toc215582323"/>
      <w:r>
        <w:rPr>
          <w:rFonts w:hint="cs"/>
          <w:rtl/>
        </w:rPr>
        <w:t>بیان دوم</w:t>
      </w:r>
      <w:r w:rsidR="00695D5F">
        <w:rPr>
          <w:rFonts w:hint="cs"/>
          <w:rtl/>
        </w:rPr>
        <w:t>: انصراف ادله‌ی برائت از فحص یسیر</w:t>
      </w:r>
      <w:bookmarkEnd w:id="55"/>
    </w:p>
    <w:p w14:paraId="7F1457F3" w14:textId="436513BC" w:rsidR="00965C65" w:rsidRDefault="00965C65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محقق نایینی</w:t>
      </w:r>
      <w:r w:rsidR="0049470C">
        <w:rPr>
          <w:rFonts w:hint="cs"/>
          <w:rtl/>
          <w:lang w:bidi="ar-SA"/>
        </w:rPr>
        <w:t xml:space="preserve"> رحمه الله</w:t>
      </w:r>
      <w:r>
        <w:rPr>
          <w:rFonts w:hint="cs"/>
          <w:rtl/>
          <w:lang w:bidi="ar-SA"/>
        </w:rPr>
        <w:t xml:space="preserve"> فرموده‌اند: «لزوم احتیاط در شبهات م</w:t>
      </w:r>
      <w:r w:rsidR="00B354CA">
        <w:rPr>
          <w:rFonts w:hint="cs"/>
          <w:rtl/>
          <w:lang w:bidi="ar-SA"/>
        </w:rPr>
        <w:t>و</w:t>
      </w:r>
      <w:r>
        <w:rPr>
          <w:rFonts w:hint="cs"/>
          <w:rtl/>
          <w:lang w:bidi="ar-SA"/>
        </w:rPr>
        <w:t>ضوعیه قبل از فحص به عنوان لزوم فحص نیست ولی</w:t>
      </w:r>
      <w:r w:rsidR="00780616">
        <w:rPr>
          <w:rFonts w:hint="cs"/>
          <w:rtl/>
          <w:lang w:bidi="ar-SA"/>
        </w:rPr>
        <w:t xml:space="preserve"> دلیل برائت از</w:t>
      </w:r>
      <w:r>
        <w:rPr>
          <w:rFonts w:hint="cs"/>
          <w:rtl/>
          <w:lang w:bidi="ar-SA"/>
        </w:rPr>
        <w:t xml:space="preserve"> مواردی</w:t>
      </w:r>
      <w:r w:rsidR="00913E22">
        <w:rPr>
          <w:rFonts w:hint="cs"/>
          <w:rtl/>
          <w:lang w:bidi="ar-SA"/>
        </w:rPr>
        <w:t xml:space="preserve"> که</w:t>
      </w:r>
      <w:r w:rsidR="006878A8">
        <w:rPr>
          <w:rFonts w:hint="cs"/>
          <w:rtl/>
          <w:lang w:bidi="ar-SA"/>
        </w:rPr>
        <w:t xml:space="preserve"> </w:t>
      </w:r>
      <w:r w:rsidR="00386159">
        <w:rPr>
          <w:rFonts w:hint="cs"/>
          <w:rtl/>
          <w:lang w:bidi="ar-SA"/>
        </w:rPr>
        <w:t>حصول</w:t>
      </w:r>
      <w:r w:rsidR="006878A8">
        <w:rPr>
          <w:rFonts w:hint="cs"/>
          <w:rtl/>
          <w:lang w:bidi="ar-SA"/>
        </w:rPr>
        <w:t xml:space="preserve"> علم فقط متوقف بر </w:t>
      </w:r>
      <w:r w:rsidR="00B0772C">
        <w:rPr>
          <w:rFonts w:hint="cs"/>
          <w:rtl/>
          <w:lang w:bidi="ar-SA"/>
        </w:rPr>
        <w:t xml:space="preserve">مجرد </w:t>
      </w:r>
      <w:r w:rsidR="006878A8">
        <w:rPr>
          <w:rFonts w:hint="cs"/>
          <w:rtl/>
          <w:lang w:bidi="ar-SA"/>
        </w:rPr>
        <w:t xml:space="preserve">نظر است </w:t>
      </w:r>
      <w:r w:rsidR="00780616">
        <w:rPr>
          <w:rFonts w:hint="cs"/>
          <w:rtl/>
          <w:lang w:bidi="ar-SA"/>
        </w:rPr>
        <w:t>منصرف است</w:t>
      </w:r>
      <w:r>
        <w:rPr>
          <w:rFonts w:hint="cs"/>
          <w:rtl/>
          <w:lang w:bidi="ar-SA"/>
        </w:rPr>
        <w:t xml:space="preserve">. مجرد نظر عرفا فحص نیست. مثل این که مکلف </w:t>
      </w:r>
      <w:r w:rsidR="00902285">
        <w:rPr>
          <w:rFonts w:hint="cs"/>
          <w:rtl/>
          <w:lang w:bidi="ar-SA"/>
        </w:rPr>
        <w:t>می‌تواند با یک نگاه به افق متوجه طلوع فجر و عدم آن شود ولی این کار را انجام نمی‌دهد و همچنان سحری می‌خورد</w:t>
      </w:r>
      <w:r>
        <w:rPr>
          <w:rFonts w:hint="cs"/>
          <w:rtl/>
          <w:lang w:bidi="ar-SA"/>
        </w:rPr>
        <w:t>.»</w:t>
      </w:r>
      <w:r w:rsidR="00FD0F56" w:rsidRPr="00FD0F56">
        <w:rPr>
          <w:vertAlign w:val="superscript"/>
          <w:rtl/>
          <w:lang w:bidi="ar"/>
        </w:rPr>
        <w:footnoteReference w:id="13"/>
      </w:r>
    </w:p>
    <w:p w14:paraId="29810200" w14:textId="4B0207DD" w:rsidR="00987973" w:rsidRDefault="00965C65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مرحوم آقای خویی در مصباح </w:t>
      </w:r>
      <w:r w:rsidR="00AF665B">
        <w:rPr>
          <w:rFonts w:hint="cs"/>
          <w:rtl/>
          <w:lang w:bidi="ar-SA"/>
        </w:rPr>
        <w:t>الاصول</w:t>
      </w:r>
      <w:r>
        <w:rPr>
          <w:rFonts w:hint="cs"/>
          <w:rtl/>
          <w:lang w:bidi="ar-SA"/>
        </w:rPr>
        <w:t xml:space="preserve"> فرموده‌اند: «این بیان تمام است. نکته‌ی آن این است که این شخصی که با یک نظر برای او تکلیف کشف می‌شود از نظر عرف جاهل</w:t>
      </w:r>
      <w:r w:rsidR="005D0621">
        <w:rPr>
          <w:rFonts w:hint="cs"/>
          <w:rtl/>
          <w:lang w:bidi="ar-SA"/>
        </w:rPr>
        <w:t xml:space="preserve"> و «من لایعلم»</w:t>
      </w:r>
      <w:r>
        <w:rPr>
          <w:rFonts w:hint="cs"/>
          <w:rtl/>
          <w:lang w:bidi="ar-SA"/>
        </w:rPr>
        <w:t xml:space="preserve"> نیست</w:t>
      </w:r>
      <w:r w:rsidR="005D0621">
        <w:rPr>
          <w:rFonts w:hint="cs"/>
          <w:rtl/>
          <w:lang w:bidi="ar-SA"/>
        </w:rPr>
        <w:t xml:space="preserve"> و این تعابیر از این شخص انصراف دارد</w:t>
      </w:r>
      <w:r>
        <w:rPr>
          <w:rFonts w:hint="cs"/>
          <w:rtl/>
          <w:lang w:bidi="ar-SA"/>
        </w:rPr>
        <w:t xml:space="preserve"> -</w:t>
      </w:r>
      <w:r w:rsidR="005D0621">
        <w:rPr>
          <w:rFonts w:hint="cs"/>
          <w:rtl/>
          <w:lang w:bidi="ar-SA"/>
        </w:rPr>
        <w:t xml:space="preserve">به تعبیر بعضی از افراد </w:t>
      </w:r>
      <w:r>
        <w:rPr>
          <w:rFonts w:hint="cs"/>
          <w:rtl/>
          <w:lang w:bidi="ar-SA"/>
        </w:rPr>
        <w:t xml:space="preserve">علم </w:t>
      </w:r>
      <w:r w:rsidR="00B0772C">
        <w:rPr>
          <w:rFonts w:hint="cs"/>
          <w:rtl/>
          <w:lang w:bidi="ar-SA"/>
        </w:rPr>
        <w:t>در جیب و مشت او است</w:t>
      </w:r>
      <w:r>
        <w:rPr>
          <w:rFonts w:hint="cs"/>
          <w:rtl/>
          <w:lang w:bidi="ar-SA"/>
        </w:rPr>
        <w:t xml:space="preserve">- لذا حدیث رفع و </w:t>
      </w:r>
      <w:r>
        <w:rPr>
          <w:rFonts w:hint="cs"/>
          <w:rtl/>
          <w:lang w:bidi="ar-SA"/>
        </w:rPr>
        <w:lastRenderedPageBreak/>
        <w:t>«</w:t>
      </w:r>
      <w:r w:rsidRPr="005D0621">
        <w:rPr>
          <w:rFonts w:hint="cs"/>
          <w:color w:val="008000"/>
          <w:rtl/>
          <w:lang w:bidi="ar-SA"/>
        </w:rPr>
        <w:t>لاتنقض الیقین بالشک</w:t>
      </w:r>
      <w:r>
        <w:rPr>
          <w:rFonts w:hint="cs"/>
          <w:rtl/>
          <w:lang w:bidi="ar-SA"/>
        </w:rPr>
        <w:t>» از او انصراف دارد»</w:t>
      </w:r>
      <w:r w:rsidR="00785FE0" w:rsidRPr="00FD0F56">
        <w:rPr>
          <w:vertAlign w:val="superscript"/>
          <w:rtl/>
          <w:lang w:bidi="ar"/>
        </w:rPr>
        <w:footnoteReference w:id="14"/>
      </w:r>
      <w:r w:rsidR="00785FE0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این در واقع فحص یسیر است. </w:t>
      </w:r>
      <w:r w:rsidR="000D0212">
        <w:rPr>
          <w:rFonts w:hint="cs"/>
          <w:rtl/>
          <w:lang w:bidi="ar-SA"/>
        </w:rPr>
        <w:t>وقتی مکلف می‌تواند با یک نگاه به تابلو متوجه شود چند کیلومتری قم است</w:t>
      </w:r>
      <w:r w:rsidR="00AB2BEA">
        <w:rPr>
          <w:rFonts w:hint="cs"/>
          <w:rtl/>
          <w:lang w:bidi="ar-SA"/>
        </w:rPr>
        <w:t xml:space="preserve"> نمی‌تواند</w:t>
      </w:r>
      <w:r w:rsidR="000D0212">
        <w:rPr>
          <w:rFonts w:hint="cs"/>
          <w:rtl/>
          <w:lang w:bidi="ar-SA"/>
        </w:rPr>
        <w:t xml:space="preserve"> </w:t>
      </w:r>
      <w:r w:rsidR="00285FC6">
        <w:rPr>
          <w:rFonts w:hint="cs"/>
          <w:rtl/>
          <w:lang w:bidi="ar-SA"/>
        </w:rPr>
        <w:t>با استصحاب عدم وصول به حد</w:t>
      </w:r>
      <w:r w:rsidR="00987973">
        <w:rPr>
          <w:rFonts w:hint="cs"/>
          <w:rtl/>
          <w:lang w:bidi="ar-SA"/>
        </w:rPr>
        <w:t xml:space="preserve"> مسافت شرعیه روزه بگیرد. </w:t>
      </w:r>
    </w:p>
    <w:p w14:paraId="397591FB" w14:textId="63FA2D1D" w:rsidR="00FD0F56" w:rsidRPr="00FD0F56" w:rsidRDefault="00AB2BEA" w:rsidP="00FB3948">
      <w:pPr>
        <w:jc w:val="both"/>
        <w:rPr>
          <w:lang w:bidi="ar-SA"/>
        </w:rPr>
      </w:pPr>
      <w:r>
        <w:rPr>
          <w:rFonts w:hint="cs"/>
          <w:rtl/>
          <w:lang w:bidi="ar-SA"/>
        </w:rPr>
        <w:t>ایشان این مطالب را در فقه نیز بیان کردند</w:t>
      </w:r>
      <w:r w:rsidR="00FD0F56">
        <w:rPr>
          <w:rFonts w:hint="cs"/>
          <w:rtl/>
          <w:lang w:bidi="ar-SA"/>
        </w:rPr>
        <w:t>.</w:t>
      </w:r>
      <w:r w:rsidR="00785FE0" w:rsidRPr="00647031">
        <w:rPr>
          <w:vertAlign w:val="superscript"/>
          <w:rtl/>
          <w:lang w:bidi="ar"/>
        </w:rPr>
        <w:footnoteReference w:id="15"/>
      </w:r>
    </w:p>
    <w:p w14:paraId="25A67C8B" w14:textId="39BDCAFB" w:rsidR="00AB2BEA" w:rsidRDefault="00AB2BEA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شهید صدر رحمه الله در مباحث الاصول فرموده‌اند: «ارتکاز عقلاء این مرتبه‌ی از فحص را لازم می‌دانند و ترک آن به معنای غمض العین و تهرب از واقع است و این ارتکاز عقلاء منشأ انصراف دلیل برائت می‌شود.»</w:t>
      </w:r>
      <w:r w:rsidR="0021250B" w:rsidRPr="0021250B">
        <w:rPr>
          <w:vertAlign w:val="superscript"/>
          <w:rtl/>
          <w:lang w:bidi="ar"/>
        </w:rPr>
        <w:footnoteReference w:id="16"/>
      </w:r>
    </w:p>
    <w:p w14:paraId="443145EE" w14:textId="3F1EFB45" w:rsidR="00695D5F" w:rsidRDefault="00DC2F08" w:rsidP="00FB3948">
      <w:pPr>
        <w:pStyle w:val="Heading3"/>
        <w:rPr>
          <w:rtl/>
        </w:rPr>
      </w:pPr>
      <w:bookmarkStart w:id="56" w:name="_Toc215582324"/>
      <w:r>
        <w:rPr>
          <w:rFonts w:hint="cs"/>
          <w:rtl/>
        </w:rPr>
        <w:t>اشکال به بیان دوم</w:t>
      </w:r>
      <w:r w:rsidR="00695D5F">
        <w:rPr>
          <w:rFonts w:hint="cs"/>
          <w:rtl/>
        </w:rPr>
        <w:t>: عدم انصراف ادله‌ی برائت از موارد فحص یسیر</w:t>
      </w:r>
      <w:bookmarkEnd w:id="56"/>
    </w:p>
    <w:p w14:paraId="226EA0BD" w14:textId="7843A583" w:rsidR="00402B07" w:rsidRDefault="00402B07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این کلام تمام نیست</w:t>
      </w:r>
      <w:r w:rsidR="00DA3B6E">
        <w:rPr>
          <w:rFonts w:hint="cs"/>
          <w:rtl/>
          <w:lang w:bidi="ar-SA"/>
        </w:rPr>
        <w:t xml:space="preserve"> و </w:t>
      </w:r>
      <w:r w:rsidR="00F84827">
        <w:rPr>
          <w:rFonts w:hint="cs"/>
          <w:rtl/>
          <w:lang w:bidi="ar-SA"/>
        </w:rPr>
        <w:t>حدیث رفع از این شخص انصراف ندارد. ولو او متمکن از تحصیل علم بسهول</w:t>
      </w:r>
      <w:r w:rsidR="001A34B0">
        <w:rPr>
          <w:rFonts w:hint="cs"/>
          <w:rtl/>
          <w:lang w:bidi="ar-SA"/>
        </w:rPr>
        <w:t>ة</w:t>
      </w:r>
      <w:r w:rsidR="00F84827">
        <w:rPr>
          <w:rFonts w:hint="cs"/>
          <w:rtl/>
          <w:lang w:bidi="ar-SA"/>
        </w:rPr>
        <w:t xml:space="preserve"> است ولی الان </w:t>
      </w:r>
      <w:r w:rsidR="001A34B0">
        <w:rPr>
          <w:rFonts w:hint="cs"/>
          <w:rtl/>
          <w:lang w:bidi="ar-SA"/>
        </w:rPr>
        <w:t>عالم</w:t>
      </w:r>
      <w:r w:rsidR="00F84827">
        <w:rPr>
          <w:rFonts w:hint="cs"/>
          <w:rtl/>
          <w:lang w:bidi="ar-SA"/>
        </w:rPr>
        <w:t xml:space="preserve"> نیست و ارتکاز عقلاء بر عدم جواز غمض العین ارتکاز استنکاری نیست</w:t>
      </w:r>
      <w:r w:rsidR="00EE20A9">
        <w:rPr>
          <w:rFonts w:hint="cs"/>
          <w:rtl/>
          <w:lang w:bidi="ar-SA"/>
        </w:rPr>
        <w:t xml:space="preserve"> تا موجب انصراف دلیل برائت شود. </w:t>
      </w:r>
      <w:r w:rsidR="00DC2F08">
        <w:rPr>
          <w:rFonts w:hint="cs"/>
          <w:rtl/>
          <w:lang w:bidi="ar-SA"/>
        </w:rPr>
        <w:t xml:space="preserve">مثلا </w:t>
      </w:r>
      <w:r w:rsidR="00151D97">
        <w:rPr>
          <w:rFonts w:hint="cs"/>
          <w:rtl/>
          <w:lang w:bidi="ar-SA"/>
        </w:rPr>
        <w:t xml:space="preserve">در موردی که </w:t>
      </w:r>
      <w:r w:rsidR="00C22DC1">
        <w:rPr>
          <w:rFonts w:hint="cs"/>
          <w:rtl/>
          <w:lang w:bidi="ar-SA"/>
        </w:rPr>
        <w:t>مهمان احتمال م</w:t>
      </w:r>
      <w:r w:rsidR="00DC2F08">
        <w:rPr>
          <w:rFonts w:hint="cs"/>
          <w:rtl/>
          <w:lang w:bidi="ar-SA"/>
        </w:rPr>
        <w:t>ی‌</w:t>
      </w:r>
      <w:r w:rsidR="00C22DC1">
        <w:rPr>
          <w:rFonts w:hint="cs"/>
          <w:rtl/>
          <w:lang w:bidi="ar-SA"/>
        </w:rPr>
        <w:t>دهد که اگر به صحبت‌های میزبان</w:t>
      </w:r>
      <w:r w:rsidR="00DC2F08">
        <w:rPr>
          <w:rFonts w:hint="cs"/>
          <w:rtl/>
          <w:lang w:bidi="ar-SA"/>
        </w:rPr>
        <w:t xml:space="preserve"> با دیگری</w:t>
      </w:r>
      <w:r w:rsidR="00C22DC1">
        <w:rPr>
          <w:rFonts w:hint="cs"/>
          <w:rtl/>
          <w:lang w:bidi="ar-SA"/>
        </w:rPr>
        <w:t xml:space="preserve"> گوش دهد متوجه می‌شود که تمام اموالش </w:t>
      </w:r>
      <w:r w:rsidR="00677CC6">
        <w:rPr>
          <w:rFonts w:hint="cs"/>
          <w:rtl/>
          <w:lang w:bidi="ar-SA"/>
        </w:rPr>
        <w:t xml:space="preserve">حرام است، گوش دادن به صحبت‌های او لازم نیست. </w:t>
      </w:r>
      <w:r w:rsidR="00EF49C1">
        <w:rPr>
          <w:rFonts w:hint="cs"/>
          <w:rtl/>
          <w:lang w:bidi="ar-SA"/>
        </w:rPr>
        <w:t xml:space="preserve">همچنین در موردی که شخصی در حال ارتکاب یک معصیت است </w:t>
      </w:r>
      <w:r w:rsidR="003252CF">
        <w:rPr>
          <w:rFonts w:hint="cs"/>
          <w:rtl/>
          <w:lang w:bidi="ar-SA"/>
        </w:rPr>
        <w:t xml:space="preserve">بر دیگران </w:t>
      </w:r>
      <w:r w:rsidR="00E11481">
        <w:rPr>
          <w:rFonts w:hint="cs"/>
          <w:rtl/>
          <w:lang w:bidi="ar-SA"/>
        </w:rPr>
        <w:t>لازم نیست که حتما به او نگاه کنند تا متوجه شوند و او را</w:t>
      </w:r>
      <w:r w:rsidR="00797323">
        <w:rPr>
          <w:rFonts w:hint="cs"/>
          <w:rtl/>
          <w:lang w:bidi="ar-SA"/>
        </w:rPr>
        <w:t xml:space="preserve"> در</w:t>
      </w:r>
      <w:r w:rsidR="00983AD0">
        <w:rPr>
          <w:rFonts w:hint="cs"/>
          <w:rtl/>
          <w:lang w:bidi="ar-SA"/>
        </w:rPr>
        <w:t xml:space="preserve"> فرض </w:t>
      </w:r>
      <w:r w:rsidR="00797323">
        <w:rPr>
          <w:rFonts w:hint="cs"/>
          <w:rtl/>
          <w:lang w:bidi="ar-SA"/>
        </w:rPr>
        <w:t>احتمال تاثیر</w:t>
      </w:r>
      <w:r w:rsidR="00983AD0">
        <w:rPr>
          <w:rFonts w:hint="cs"/>
          <w:rtl/>
          <w:lang w:bidi="ar-SA"/>
        </w:rPr>
        <w:t xml:space="preserve"> و عدم خوف ضرر</w:t>
      </w:r>
      <w:r w:rsidR="00E11481">
        <w:rPr>
          <w:rFonts w:hint="cs"/>
          <w:rtl/>
          <w:lang w:bidi="ar-SA"/>
        </w:rPr>
        <w:t xml:space="preserve"> نهی از منکر کنند.</w:t>
      </w:r>
      <w:r w:rsidR="00797323">
        <w:rPr>
          <w:rFonts w:hint="cs"/>
          <w:rtl/>
          <w:lang w:bidi="ar-SA"/>
        </w:rPr>
        <w:t xml:space="preserve"> </w:t>
      </w:r>
      <w:r w:rsidR="00C22DC1">
        <w:rPr>
          <w:rFonts w:hint="cs"/>
          <w:rtl/>
          <w:lang w:bidi="ar-SA"/>
        </w:rPr>
        <w:t xml:space="preserve"> </w:t>
      </w:r>
    </w:p>
    <w:p w14:paraId="539FEC91" w14:textId="0667B778" w:rsidR="00C22DC1" w:rsidRDefault="007B448B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البته ممکن است </w:t>
      </w:r>
      <w:r w:rsidR="00297F31">
        <w:rPr>
          <w:rFonts w:hint="cs"/>
          <w:rtl/>
          <w:lang w:bidi="ar-SA"/>
        </w:rPr>
        <w:t xml:space="preserve">از </w:t>
      </w:r>
      <w:r>
        <w:rPr>
          <w:rFonts w:hint="cs"/>
          <w:rtl/>
          <w:lang w:bidi="ar-SA"/>
        </w:rPr>
        <w:t xml:space="preserve">بعضی از موارد </w:t>
      </w:r>
      <w:r w:rsidR="00297F31">
        <w:rPr>
          <w:rFonts w:hint="cs"/>
          <w:rtl/>
          <w:lang w:bidi="ar-SA"/>
        </w:rPr>
        <w:t>که با یک نگاه متوجه تکلیف و</w:t>
      </w:r>
      <w:r w:rsidR="00DC2F08">
        <w:rPr>
          <w:rFonts w:hint="cs"/>
          <w:rtl/>
          <w:lang w:bidi="ar-SA"/>
        </w:rPr>
        <w:t xml:space="preserve"> موضوع می‌شود انصراف داشته باشد</w:t>
      </w:r>
      <w:r w:rsidR="00297F31">
        <w:rPr>
          <w:rFonts w:hint="cs"/>
          <w:rtl/>
          <w:lang w:bidi="ar-SA"/>
        </w:rPr>
        <w:t xml:space="preserve"> مثل این که می‌تواند با یک نگاه متوجه خمر یا خل بودن این </w:t>
      </w:r>
      <w:r w:rsidR="00DC2F08">
        <w:rPr>
          <w:rFonts w:hint="cs"/>
          <w:rtl/>
          <w:lang w:bidi="ar-SA"/>
        </w:rPr>
        <w:t>مایع</w:t>
      </w:r>
      <w:r w:rsidR="00297F31">
        <w:rPr>
          <w:rFonts w:hint="cs"/>
          <w:rtl/>
          <w:lang w:bidi="ar-SA"/>
        </w:rPr>
        <w:t xml:space="preserve"> شود ولی چشم‌های خود را ببندد و نگاه نکند. </w:t>
      </w:r>
      <w:r w:rsidR="00713ADD">
        <w:rPr>
          <w:rFonts w:hint="cs"/>
          <w:rtl/>
          <w:lang w:bidi="ar-SA"/>
        </w:rPr>
        <w:t xml:space="preserve">یا بعد از بیدار شدن از خواب با این که می‌تواند با یک نگاه متوجه طلوع </w:t>
      </w:r>
      <w:r w:rsidR="00E972AA">
        <w:rPr>
          <w:rFonts w:hint="cs"/>
          <w:rtl/>
          <w:lang w:bidi="ar-SA"/>
        </w:rPr>
        <w:t xml:space="preserve">فجر </w:t>
      </w:r>
      <w:r w:rsidR="00713ADD">
        <w:rPr>
          <w:rFonts w:hint="cs"/>
          <w:rtl/>
          <w:lang w:bidi="ar-SA"/>
        </w:rPr>
        <w:t xml:space="preserve">یا عدم </w:t>
      </w:r>
      <w:r w:rsidR="00E972AA">
        <w:rPr>
          <w:rFonts w:hint="cs"/>
          <w:rtl/>
          <w:lang w:bidi="ar-SA"/>
        </w:rPr>
        <w:t>آن</w:t>
      </w:r>
      <w:r w:rsidR="00713ADD">
        <w:rPr>
          <w:rFonts w:hint="cs"/>
          <w:rtl/>
          <w:lang w:bidi="ar-SA"/>
        </w:rPr>
        <w:t xml:space="preserve"> شود نگاه نکند و پرد</w:t>
      </w:r>
      <w:r w:rsidR="0026168E">
        <w:rPr>
          <w:rFonts w:hint="cs"/>
          <w:rtl/>
          <w:lang w:bidi="ar-SA"/>
        </w:rPr>
        <w:t>ه‌</w:t>
      </w:r>
      <w:r w:rsidR="00713ADD">
        <w:rPr>
          <w:rFonts w:hint="cs"/>
          <w:rtl/>
          <w:lang w:bidi="ar-SA"/>
        </w:rPr>
        <w:t>ها را بکشد تا متوجه روشن شدن هوا نشود در این مورد نمی</w:t>
      </w:r>
      <w:r w:rsidR="00E972AA">
        <w:rPr>
          <w:rFonts w:hint="cs"/>
          <w:rtl/>
          <w:lang w:bidi="ar-SA"/>
        </w:rPr>
        <w:t>‌تواند با استصحاب عدم طلوع فجر غ</w:t>
      </w:r>
      <w:r w:rsidR="00713ADD">
        <w:rPr>
          <w:rFonts w:hint="cs"/>
          <w:rtl/>
          <w:lang w:bidi="ar-SA"/>
        </w:rPr>
        <w:t>ذا بخورد.</w:t>
      </w:r>
      <w:r w:rsidR="00DB694F">
        <w:rPr>
          <w:rFonts w:hint="cs"/>
          <w:rtl/>
          <w:lang w:bidi="ar-SA"/>
        </w:rPr>
        <w:t xml:space="preserve"> </w:t>
      </w:r>
      <w:r w:rsidR="000821A5">
        <w:rPr>
          <w:rFonts w:hint="cs"/>
          <w:rtl/>
          <w:lang w:bidi="ar-SA"/>
        </w:rPr>
        <w:t xml:space="preserve">ولی لزوم «امعان نظر و ترک اغماض» فهمیده نمی‌شود و حدیث رفع و دلیل استصحاب از </w:t>
      </w:r>
      <w:r w:rsidR="00E972AA">
        <w:rPr>
          <w:rFonts w:hint="cs"/>
          <w:rtl/>
          <w:lang w:bidi="ar-SA"/>
        </w:rPr>
        <w:t>آن</w:t>
      </w:r>
      <w:r w:rsidR="000821A5">
        <w:rPr>
          <w:rFonts w:hint="cs"/>
          <w:rtl/>
          <w:lang w:bidi="ar-SA"/>
        </w:rPr>
        <w:t xml:space="preserve"> انصراف ندارد. </w:t>
      </w:r>
    </w:p>
    <w:p w14:paraId="7162813F" w14:textId="783311CF" w:rsidR="0044183D" w:rsidRDefault="0044183D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بستن چشم‌ </w:t>
      </w:r>
      <w:r w:rsidR="00E30C67">
        <w:rPr>
          <w:rFonts w:hint="cs"/>
          <w:rtl/>
          <w:lang w:bidi="ar-SA"/>
        </w:rPr>
        <w:t xml:space="preserve">از نگاه به تابلو </w:t>
      </w:r>
      <w:r>
        <w:rPr>
          <w:rFonts w:hint="cs"/>
          <w:rtl/>
          <w:lang w:bidi="ar-SA"/>
        </w:rPr>
        <w:t>برای این که نبیند</w:t>
      </w:r>
      <w:r w:rsidR="00C7778B">
        <w:rPr>
          <w:rFonts w:hint="cs"/>
          <w:rtl/>
          <w:lang w:bidi="ar-SA"/>
        </w:rPr>
        <w:t xml:space="preserve"> در حالی که در صورت باز بودن چشم تابلو را می‌بیند</w:t>
      </w:r>
      <w:r>
        <w:rPr>
          <w:rFonts w:hint="cs"/>
          <w:rtl/>
          <w:lang w:bidi="ar-SA"/>
        </w:rPr>
        <w:t xml:space="preserve"> </w:t>
      </w:r>
      <w:r w:rsidR="00E30C67">
        <w:rPr>
          <w:rFonts w:hint="cs"/>
          <w:rtl/>
          <w:lang w:bidi="ar-SA"/>
        </w:rPr>
        <w:t xml:space="preserve">با لزوم نگاه </w:t>
      </w:r>
      <w:r w:rsidR="003A0DA9">
        <w:rPr>
          <w:rFonts w:hint="cs"/>
          <w:rtl/>
          <w:lang w:bidi="ar-SA"/>
        </w:rPr>
        <w:t xml:space="preserve">به </w:t>
      </w:r>
      <w:r w:rsidR="00231235">
        <w:rPr>
          <w:rFonts w:hint="cs"/>
          <w:rtl/>
          <w:lang w:bidi="ar-SA"/>
        </w:rPr>
        <w:t xml:space="preserve">کناره </w:t>
      </w:r>
      <w:r w:rsidR="003A0DA9">
        <w:rPr>
          <w:rFonts w:hint="cs"/>
          <w:rtl/>
          <w:lang w:bidi="ar-SA"/>
        </w:rPr>
        <w:t>جاده برای دیدن</w:t>
      </w:r>
      <w:r w:rsidR="00E30C67">
        <w:rPr>
          <w:rFonts w:hint="cs"/>
          <w:rtl/>
          <w:lang w:bidi="ar-SA"/>
        </w:rPr>
        <w:t xml:space="preserve"> تابلو </w:t>
      </w:r>
      <w:r w:rsidR="0026168E">
        <w:rPr>
          <w:rFonts w:hint="cs"/>
          <w:rtl/>
          <w:lang w:bidi="ar-SA"/>
        </w:rPr>
        <w:t xml:space="preserve">که به طور متعارف انسان نگاه نمی‌کند </w:t>
      </w:r>
      <w:r>
        <w:rPr>
          <w:rFonts w:hint="cs"/>
          <w:rtl/>
          <w:lang w:bidi="ar-SA"/>
        </w:rPr>
        <w:t xml:space="preserve">فرق دارد و ممکن است نسبت به </w:t>
      </w:r>
      <w:r w:rsidR="006F321D">
        <w:rPr>
          <w:rFonts w:hint="cs"/>
          <w:rtl/>
          <w:lang w:bidi="ar-SA"/>
        </w:rPr>
        <w:t xml:space="preserve">صورت اول </w:t>
      </w:r>
      <w:r w:rsidR="000B4EFA">
        <w:rPr>
          <w:rFonts w:hint="cs"/>
          <w:rtl/>
          <w:lang w:bidi="ar-SA"/>
        </w:rPr>
        <w:t xml:space="preserve">حکم به </w:t>
      </w:r>
      <w:r>
        <w:rPr>
          <w:rFonts w:hint="cs"/>
          <w:rtl/>
          <w:lang w:bidi="ar-SA"/>
        </w:rPr>
        <w:t>احتیاط</w:t>
      </w:r>
      <w:r w:rsidR="000B4EFA">
        <w:rPr>
          <w:rFonts w:hint="cs"/>
          <w:rtl/>
          <w:lang w:bidi="ar-SA"/>
        </w:rPr>
        <w:t xml:space="preserve"> شود</w:t>
      </w:r>
      <w:r>
        <w:rPr>
          <w:rFonts w:hint="cs"/>
          <w:rtl/>
          <w:lang w:bidi="ar-SA"/>
        </w:rPr>
        <w:t xml:space="preserve"> </w:t>
      </w:r>
      <w:r w:rsidR="004C4BFE">
        <w:rPr>
          <w:rFonts w:hint="cs"/>
          <w:rtl/>
          <w:lang w:bidi="ar-SA"/>
        </w:rPr>
        <w:t xml:space="preserve">و نسبت به همین نیز ما شبهه داریم </w:t>
      </w:r>
      <w:r>
        <w:rPr>
          <w:rFonts w:hint="cs"/>
          <w:rtl/>
          <w:lang w:bidi="ar-SA"/>
        </w:rPr>
        <w:t xml:space="preserve">ولی نگاه کردن </w:t>
      </w:r>
      <w:r w:rsidR="00231235">
        <w:rPr>
          <w:rFonts w:hint="cs"/>
          <w:rtl/>
          <w:lang w:bidi="ar-SA"/>
        </w:rPr>
        <w:t xml:space="preserve">به کناره جاده </w:t>
      </w:r>
      <w:r>
        <w:rPr>
          <w:rFonts w:hint="cs"/>
          <w:rtl/>
          <w:lang w:bidi="ar-SA"/>
        </w:rPr>
        <w:t>لازم نیست</w:t>
      </w:r>
      <w:r w:rsidR="00F74C98">
        <w:rPr>
          <w:rFonts w:hint="cs"/>
          <w:rtl/>
          <w:lang w:bidi="ar-SA"/>
        </w:rPr>
        <w:t xml:space="preserve"> و می‌تواند استصحاب </w:t>
      </w:r>
      <w:r w:rsidR="00EA4700">
        <w:rPr>
          <w:rFonts w:hint="cs"/>
          <w:rtl/>
          <w:lang w:bidi="ar-SA"/>
        </w:rPr>
        <w:t xml:space="preserve">عدم وصول به مسافت شرعی </w:t>
      </w:r>
      <w:r w:rsidR="00F74C98">
        <w:rPr>
          <w:rFonts w:hint="cs"/>
          <w:rtl/>
          <w:lang w:bidi="ar-SA"/>
        </w:rPr>
        <w:t xml:space="preserve">جاری کند. </w:t>
      </w:r>
    </w:p>
    <w:p w14:paraId="44986C02" w14:textId="5A3F3AF1" w:rsidR="00B4799D" w:rsidRDefault="00B4799D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بنابراین حدیث رفع اطلاق ندارد و وجهی برای انصراف حدیث رفع و دلیل استصحاب </w:t>
      </w:r>
      <w:r w:rsidR="002C0709">
        <w:rPr>
          <w:rFonts w:hint="cs"/>
          <w:rtl/>
          <w:lang w:bidi="ar-SA"/>
        </w:rPr>
        <w:t xml:space="preserve">از </w:t>
      </w:r>
      <w:r>
        <w:rPr>
          <w:rFonts w:hint="cs"/>
          <w:rtl/>
          <w:lang w:bidi="ar-SA"/>
        </w:rPr>
        <w:t>این موارد از شبهات موضوعیه که با اعمال نظر</w:t>
      </w:r>
      <w:r w:rsidR="00231235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واقع فهمیده می‌شود، وجود ندارد. </w:t>
      </w:r>
    </w:p>
    <w:p w14:paraId="6F9654B0" w14:textId="458D4817" w:rsidR="00695D5F" w:rsidRDefault="00695D5F" w:rsidP="00FB3948">
      <w:pPr>
        <w:pStyle w:val="Heading2"/>
        <w:rPr>
          <w:rtl/>
        </w:rPr>
      </w:pPr>
      <w:bookmarkStart w:id="57" w:name="_Toc215582325"/>
      <w:r>
        <w:rPr>
          <w:rFonts w:hint="cs"/>
          <w:rtl/>
        </w:rPr>
        <w:lastRenderedPageBreak/>
        <w:t xml:space="preserve">ادله‌ی دال بر جواز </w:t>
      </w:r>
      <w:r w:rsidR="00231235">
        <w:rPr>
          <w:rFonts w:hint="cs"/>
          <w:rtl/>
        </w:rPr>
        <w:t>تهرّب از علم</w:t>
      </w:r>
      <w:r>
        <w:rPr>
          <w:rFonts w:hint="cs"/>
          <w:rtl/>
        </w:rPr>
        <w:t xml:space="preserve"> در باب طهارت و نجاست</w:t>
      </w:r>
      <w:bookmarkEnd w:id="57"/>
      <w:r>
        <w:rPr>
          <w:rFonts w:hint="cs"/>
          <w:rtl/>
        </w:rPr>
        <w:t xml:space="preserve"> </w:t>
      </w:r>
    </w:p>
    <w:p w14:paraId="000DE511" w14:textId="37F16551" w:rsidR="00231235" w:rsidRDefault="00F62C53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شهید صدر رحمه الله فرموده‌اند: «در بعضی از شبهات موضوعیه</w:t>
      </w:r>
      <w:r w:rsidR="00B623AC">
        <w:rPr>
          <w:rFonts w:hint="cs"/>
          <w:rtl/>
          <w:lang w:bidi="ar-SA"/>
        </w:rPr>
        <w:t xml:space="preserve"> مثل باب طهارت و نجاست دلیل بر جواز</w:t>
      </w:r>
      <w:r>
        <w:rPr>
          <w:rFonts w:hint="cs"/>
          <w:rtl/>
          <w:lang w:bidi="ar-SA"/>
        </w:rPr>
        <w:t xml:space="preserve"> تهرّب از علم </w:t>
      </w:r>
      <w:r w:rsidR="00B623AC">
        <w:rPr>
          <w:rFonts w:hint="cs"/>
          <w:rtl/>
          <w:lang w:bidi="ar-SA"/>
        </w:rPr>
        <w:t xml:space="preserve">وجود دارد. </w:t>
      </w:r>
      <w:r>
        <w:rPr>
          <w:rFonts w:hint="cs"/>
          <w:rtl/>
          <w:lang w:bidi="ar-SA"/>
        </w:rPr>
        <w:t xml:space="preserve">در این موارد می‌توان چشم </w:t>
      </w:r>
      <w:r w:rsidR="00F21F65">
        <w:rPr>
          <w:rFonts w:hint="cs"/>
          <w:rtl/>
          <w:lang w:bidi="ar-SA"/>
        </w:rPr>
        <w:t xml:space="preserve">را بست </w:t>
      </w:r>
      <w:r w:rsidR="00F17A8B">
        <w:rPr>
          <w:rFonts w:hint="cs"/>
          <w:rtl/>
          <w:lang w:bidi="ar-SA"/>
        </w:rPr>
        <w:t xml:space="preserve">تا متوجه </w:t>
      </w:r>
      <w:r w:rsidR="00231235">
        <w:rPr>
          <w:rFonts w:hint="cs"/>
          <w:rtl/>
          <w:lang w:bidi="ar-SA"/>
        </w:rPr>
        <w:t>خون</w:t>
      </w:r>
      <w:r w:rsidR="00F17A8B">
        <w:rPr>
          <w:rFonts w:hint="cs"/>
          <w:rtl/>
          <w:lang w:bidi="ar-SA"/>
        </w:rPr>
        <w:t xml:space="preserve"> بودن چیزی که روی لباس افتاد</w:t>
      </w:r>
      <w:r w:rsidR="00231235">
        <w:rPr>
          <w:rFonts w:hint="cs"/>
          <w:rtl/>
          <w:lang w:bidi="ar-SA"/>
        </w:rPr>
        <w:t>ه</w:t>
      </w:r>
      <w:r w:rsidR="00F17A8B">
        <w:rPr>
          <w:rFonts w:hint="cs"/>
          <w:rtl/>
          <w:lang w:bidi="ar-SA"/>
        </w:rPr>
        <w:t xml:space="preserve"> نشود</w:t>
      </w:r>
      <w:r w:rsidR="00593686">
        <w:rPr>
          <w:rFonts w:hint="cs"/>
          <w:rtl/>
          <w:lang w:bidi="ar-SA"/>
        </w:rPr>
        <w:t>. روای</w:t>
      </w:r>
      <w:r w:rsidR="00231235">
        <w:rPr>
          <w:rFonts w:hint="cs"/>
          <w:rtl/>
          <w:lang w:bidi="ar-SA"/>
        </w:rPr>
        <w:t>ا</w:t>
      </w:r>
      <w:r w:rsidR="00593686">
        <w:rPr>
          <w:rFonts w:hint="cs"/>
          <w:rtl/>
          <w:lang w:bidi="ar-SA"/>
        </w:rPr>
        <w:t xml:space="preserve">ت </w:t>
      </w:r>
      <w:r w:rsidR="00231235">
        <w:rPr>
          <w:rFonts w:hint="cs"/>
          <w:rtl/>
          <w:lang w:bidi="ar-SA"/>
        </w:rPr>
        <w:t>مختلفی بر این مطلب دلالت دارند.</w:t>
      </w:r>
    </w:p>
    <w:p w14:paraId="42C8A68C" w14:textId="77777777" w:rsidR="00231235" w:rsidRDefault="00231235" w:rsidP="00FB3948">
      <w:pPr>
        <w:jc w:val="both"/>
        <w:rPr>
          <w:rtl/>
          <w:lang w:bidi="ar-SA"/>
        </w:rPr>
      </w:pPr>
    </w:p>
    <w:p w14:paraId="7B5AEAFB" w14:textId="77777777" w:rsidR="00231235" w:rsidRDefault="00593686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روایت اول: </w:t>
      </w:r>
      <w:r w:rsidR="00DA16DF">
        <w:rPr>
          <w:rFonts w:hint="cs"/>
          <w:rtl/>
          <w:lang w:bidi="ar-SA"/>
        </w:rPr>
        <w:t>صحیحه</w:t>
      </w:r>
      <w:r w:rsidR="00F62C53">
        <w:rPr>
          <w:rFonts w:hint="cs"/>
          <w:rtl/>
          <w:lang w:bidi="ar-SA"/>
        </w:rPr>
        <w:t xml:space="preserve"> زراره «</w:t>
      </w:r>
      <w:r w:rsidR="0047463C" w:rsidRPr="00A358D3">
        <w:rPr>
          <w:rFonts w:hint="cs"/>
          <w:color w:val="008000"/>
          <w:rtl/>
        </w:rPr>
        <w:t>قُلْتُ فَهَلْ‏ عَلَيَ‏ إِنْ‏ شَكَكْتُ‏ فِي أَنَّهُ أَصَابَهُ شَيْ‏ءٌ أَنْ أَنْظُرَ فِيهِ قَالَ لَا</w:t>
      </w:r>
      <w:r w:rsidR="0047463C" w:rsidRPr="0047463C">
        <w:rPr>
          <w:rFonts w:hint="cs"/>
          <w:rtl/>
        </w:rPr>
        <w:t>.</w:t>
      </w:r>
      <w:r w:rsidR="00F62C53">
        <w:rPr>
          <w:rFonts w:hint="cs"/>
          <w:rtl/>
          <w:lang w:bidi="ar-SA"/>
        </w:rPr>
        <w:t>»</w:t>
      </w:r>
      <w:r w:rsidR="0047463C">
        <w:rPr>
          <w:rStyle w:val="FootnoteReference"/>
          <w:rtl/>
          <w:lang w:bidi="ar-SA"/>
        </w:rPr>
        <w:footnoteReference w:id="17"/>
      </w:r>
    </w:p>
    <w:p w14:paraId="00EC3CDA" w14:textId="77777777" w:rsidR="00503FC1" w:rsidRDefault="00E44C38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روایت دوم: </w:t>
      </w:r>
      <w:r w:rsidR="00F62C53">
        <w:rPr>
          <w:rFonts w:hint="cs"/>
          <w:rtl/>
          <w:lang w:bidi="ar-SA"/>
        </w:rPr>
        <w:t>«</w:t>
      </w:r>
      <w:r w:rsidR="00A661EB" w:rsidRPr="00A358D3">
        <w:rPr>
          <w:rFonts w:hint="cs"/>
          <w:color w:val="008000"/>
          <w:rtl/>
        </w:rPr>
        <w:t>وَ عَنْهُ عَنْ أَبِي جَعْفَرٍ عَنْ أَبِيهِ عَنْ حَفْصِ بْنِ غِيَاثٍ عَنْ جَعْفَرٍ عَنْ أَبِيهِ عَنْ عَلِيٍّ ع قَالَ: مَا أُبَالِي‏ أَ بَوْلٌ‏ أَصَابَنِي أَوْ مَاءٌ إِذَا لَمْ أَعْلَمْ</w:t>
      </w:r>
      <w:r w:rsidR="00A661EB" w:rsidRPr="00A661EB">
        <w:rPr>
          <w:rFonts w:hint="cs"/>
          <w:rtl/>
        </w:rPr>
        <w:t>.</w:t>
      </w:r>
      <w:r w:rsidR="00A661EB">
        <w:rPr>
          <w:rFonts w:hint="cs"/>
          <w:rtl/>
          <w:lang w:bidi="ar-SA"/>
        </w:rPr>
        <w:t>»</w:t>
      </w:r>
      <w:r w:rsidR="00A661EB">
        <w:rPr>
          <w:rStyle w:val="FootnoteReference"/>
          <w:rtl/>
          <w:lang w:bidi="ar-SA"/>
        </w:rPr>
        <w:footnoteReference w:id="18"/>
      </w:r>
      <w:r w:rsidR="00A661EB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امیرالمؤمنین علیه السلام فرمودند: «در مورد شک در اصابت بول یا آب </w:t>
      </w:r>
      <w:r w:rsidR="006C592C">
        <w:rPr>
          <w:rFonts w:hint="cs"/>
          <w:rtl/>
          <w:lang w:bidi="ar-SA"/>
        </w:rPr>
        <w:t xml:space="preserve">برای من </w:t>
      </w:r>
      <w:r w:rsidR="00F62C53">
        <w:rPr>
          <w:rFonts w:hint="cs"/>
          <w:rtl/>
          <w:lang w:bidi="ar-SA"/>
        </w:rPr>
        <w:t xml:space="preserve">مهم نیست که بول اصابت کرد </w:t>
      </w:r>
      <w:r w:rsidR="006C592C">
        <w:rPr>
          <w:rFonts w:hint="cs"/>
          <w:rtl/>
          <w:lang w:bidi="ar-SA"/>
        </w:rPr>
        <w:t xml:space="preserve">یا آب.» </w:t>
      </w:r>
      <w:r w:rsidR="006B61BC">
        <w:rPr>
          <w:rFonts w:hint="cs"/>
          <w:rtl/>
          <w:lang w:bidi="ar-SA"/>
        </w:rPr>
        <w:t xml:space="preserve"> </w:t>
      </w:r>
    </w:p>
    <w:p w14:paraId="336F5470" w14:textId="01E72DD2" w:rsidR="006B61BC" w:rsidRDefault="006B61BC" w:rsidP="00FB3948">
      <w:pPr>
        <w:jc w:val="both"/>
        <w:rPr>
          <w:color w:val="242887"/>
          <w:rtl/>
        </w:rPr>
      </w:pPr>
      <w:r>
        <w:rPr>
          <w:rFonts w:hint="cs"/>
          <w:rtl/>
          <w:lang w:bidi="ar-SA"/>
        </w:rPr>
        <w:t>روایت سوم: د</w:t>
      </w:r>
      <w:r w:rsidR="00F62C53">
        <w:rPr>
          <w:rFonts w:hint="cs"/>
          <w:rtl/>
          <w:lang w:bidi="ar-SA"/>
        </w:rPr>
        <w:t xml:space="preserve">ر موارد شک در تذکیه فرمودند: </w:t>
      </w:r>
      <w:r w:rsidR="00A358D3">
        <w:rPr>
          <w:rFonts w:hint="cs"/>
          <w:rtl/>
          <w:lang w:bidi="ar-SA"/>
        </w:rPr>
        <w:t>«</w:t>
      </w:r>
      <w:r w:rsidRPr="00A358D3">
        <w:rPr>
          <w:color w:val="008000"/>
          <w:rtl/>
        </w:rPr>
        <w:t>کل و لاتسأل</w:t>
      </w:r>
      <w:r w:rsidRPr="00A358D3">
        <w:rPr>
          <w:rtl/>
        </w:rPr>
        <w:t>»</w:t>
      </w:r>
      <w:r w:rsidRPr="00A358D3">
        <w:rPr>
          <w:rStyle w:val="FootnoteReference"/>
          <w:sz w:val="30"/>
          <w:szCs w:val="30"/>
          <w:rtl/>
        </w:rPr>
        <w:footnoteReference w:id="19"/>
      </w:r>
      <w:r w:rsidRPr="00A358D3">
        <w:rPr>
          <w:rtl/>
        </w:rPr>
        <w:t xml:space="preserve"> </w:t>
      </w:r>
      <w:r>
        <w:rPr>
          <w:rFonts w:hint="cs"/>
          <w:rtl/>
          <w:lang w:bidi="ar-SA"/>
        </w:rPr>
        <w:t>«</w:t>
      </w:r>
      <w:r w:rsidRPr="006B61BC">
        <w:rPr>
          <w:rtl/>
        </w:rPr>
        <w:t xml:space="preserve"> </w:t>
      </w:r>
      <w:r w:rsidRPr="00A358D3">
        <w:rPr>
          <w:color w:val="008000"/>
          <w:rtl/>
        </w:rPr>
        <w:t>فَقَالَ نَعَمْ لَيْسَ عَلَيْكُمُ الْمَسْأَلَةُ إِنَّ أَبَا جَعْفَرٍ ع كَانَ يَقُولُ إِنَ‏ الْخَوَارِجَ‏ ضَيَّقُوا عَلَى‏ أَنْفُسِهِمْ‏ بِجَهَالَتِهِمْ إِنَّ الدِّينَ أَوْسَعُ مِنْ ذَلِكَ</w:t>
      </w:r>
      <w:r w:rsidRPr="000C1196">
        <w:rPr>
          <w:rtl/>
        </w:rPr>
        <w:t>.»</w:t>
      </w:r>
      <w:r w:rsidRPr="00A358D3">
        <w:rPr>
          <w:rStyle w:val="FootnoteReference"/>
          <w:rFonts w:cs="NoorLotus"/>
          <w:sz w:val="30"/>
          <w:szCs w:val="30"/>
          <w:rtl/>
        </w:rPr>
        <w:footnoteReference w:id="20"/>
      </w:r>
    </w:p>
    <w:p w14:paraId="11A7C201" w14:textId="2DE2B494" w:rsidR="00F62C53" w:rsidRDefault="00902D67" w:rsidP="00FB3948">
      <w:pPr>
        <w:jc w:val="both"/>
        <w:rPr>
          <w:color w:val="242887"/>
          <w:rtl/>
        </w:rPr>
      </w:pPr>
      <w:r>
        <w:rPr>
          <w:rFonts w:hint="cs"/>
          <w:rtl/>
          <w:lang w:bidi="ar-SA"/>
        </w:rPr>
        <w:t>مرحوم آقای تبریزی یک بار خواست</w:t>
      </w:r>
      <w:r w:rsidR="008F7D2E">
        <w:rPr>
          <w:rFonts w:hint="cs"/>
          <w:rtl/>
          <w:lang w:bidi="ar-SA"/>
        </w:rPr>
        <w:t>ند</w:t>
      </w:r>
      <w:r>
        <w:rPr>
          <w:rFonts w:hint="cs"/>
          <w:rtl/>
          <w:lang w:bidi="ar-SA"/>
        </w:rPr>
        <w:t xml:space="preserve"> مرغ بخر</w:t>
      </w:r>
      <w:r w:rsidR="008F7D2E">
        <w:rPr>
          <w:rFonts w:hint="cs"/>
          <w:rtl/>
          <w:lang w:bidi="ar-SA"/>
        </w:rPr>
        <w:t>ند</w:t>
      </w:r>
      <w:r>
        <w:rPr>
          <w:rFonts w:hint="cs"/>
          <w:rtl/>
          <w:lang w:bidi="ar-SA"/>
        </w:rPr>
        <w:t xml:space="preserve"> </w:t>
      </w:r>
      <w:r w:rsidR="008F7D2E">
        <w:rPr>
          <w:rFonts w:hint="cs"/>
          <w:rtl/>
          <w:lang w:bidi="ar-SA"/>
        </w:rPr>
        <w:t>بعد از بررسی متوجه شدند یکی از اوداج اربعه آن بریده نشده است و لذا آن را برگرداندن</w:t>
      </w:r>
      <w:r w:rsidR="00503FC1">
        <w:rPr>
          <w:rFonts w:hint="cs"/>
          <w:rtl/>
          <w:lang w:bidi="ar-SA"/>
        </w:rPr>
        <w:t>د اما این بررسی‌ها لازم نیست.</w:t>
      </w:r>
    </w:p>
    <w:p w14:paraId="0A8B8C25" w14:textId="6E6AA332" w:rsidR="00503FC1" w:rsidRPr="006B61BC" w:rsidRDefault="00503FC1" w:rsidP="00FB3948">
      <w:pPr>
        <w:pStyle w:val="Heading3"/>
        <w:rPr>
          <w:rtl/>
        </w:rPr>
      </w:pPr>
      <w:bookmarkStart w:id="58" w:name="_Toc215582326"/>
      <w:r>
        <w:rPr>
          <w:rFonts w:hint="cs"/>
          <w:rtl/>
        </w:rPr>
        <w:t>اشکال به استدلال به برخی از روایات در جواز تهرب از علم در باب نجاسات</w:t>
      </w:r>
      <w:bookmarkEnd w:id="58"/>
    </w:p>
    <w:p w14:paraId="6D927B06" w14:textId="5A8BD029" w:rsidR="0087191D" w:rsidRDefault="00902D67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بعضی از این استدلال‌ها تمام نیست</w:t>
      </w:r>
      <w:r w:rsidR="00E616AC">
        <w:rPr>
          <w:rFonts w:hint="cs"/>
          <w:rtl/>
          <w:lang w:bidi="ar-SA"/>
        </w:rPr>
        <w:t>.</w:t>
      </w:r>
      <w:r>
        <w:rPr>
          <w:rFonts w:hint="cs"/>
          <w:rtl/>
          <w:lang w:bidi="ar-SA"/>
        </w:rPr>
        <w:t xml:space="preserve"> کسی که معتقد </w:t>
      </w:r>
      <w:r w:rsidR="00DE1AAA">
        <w:rPr>
          <w:rFonts w:hint="cs"/>
          <w:rtl/>
          <w:lang w:bidi="ar-SA"/>
        </w:rPr>
        <w:t>است</w:t>
      </w:r>
      <w:r>
        <w:rPr>
          <w:rFonts w:hint="cs"/>
          <w:rtl/>
          <w:lang w:bidi="ar-SA"/>
        </w:rPr>
        <w:t xml:space="preserve"> </w:t>
      </w:r>
      <w:r w:rsidR="00AD3D35">
        <w:rPr>
          <w:rFonts w:hint="cs"/>
          <w:rtl/>
          <w:lang w:bidi="ar-SA"/>
        </w:rPr>
        <w:t>ادله‌ی اصول مثل قاعده‌ی طهارت و برائت و استصحاب از موا</w:t>
      </w:r>
      <w:r>
        <w:rPr>
          <w:rFonts w:hint="cs"/>
          <w:rtl/>
          <w:lang w:bidi="ar-SA"/>
        </w:rPr>
        <w:t xml:space="preserve">ردی که فحص یسیر او را به </w:t>
      </w:r>
      <w:r w:rsidR="00AD3D35">
        <w:rPr>
          <w:rFonts w:hint="cs"/>
          <w:rtl/>
          <w:lang w:bidi="ar-SA"/>
        </w:rPr>
        <w:t xml:space="preserve">واقع </w:t>
      </w:r>
      <w:r>
        <w:rPr>
          <w:rFonts w:hint="cs"/>
          <w:rtl/>
          <w:lang w:bidi="ar-SA"/>
        </w:rPr>
        <w:t>می‌رساند</w:t>
      </w:r>
      <w:r w:rsidR="00AD3D35">
        <w:rPr>
          <w:rFonts w:hint="cs"/>
          <w:rtl/>
          <w:lang w:bidi="ar-SA"/>
        </w:rPr>
        <w:t xml:space="preserve">، منصرف است نمی‌تواند به این ادله برای اثبات عدم لزوم فحص یسیر در باب طهارت و نجاست تمسک کند. زیرا </w:t>
      </w:r>
      <w:r>
        <w:rPr>
          <w:rFonts w:hint="cs"/>
          <w:rtl/>
          <w:lang w:bidi="ar-SA"/>
        </w:rPr>
        <w:t xml:space="preserve">صحیحه زراره </w:t>
      </w:r>
      <w:r w:rsidR="0086006C">
        <w:rPr>
          <w:rFonts w:hint="cs"/>
          <w:rtl/>
          <w:lang w:bidi="ar-SA"/>
        </w:rPr>
        <w:t xml:space="preserve">اولا: </w:t>
      </w:r>
      <w:r>
        <w:rPr>
          <w:rFonts w:hint="cs"/>
          <w:rtl/>
          <w:lang w:bidi="ar-SA"/>
        </w:rPr>
        <w:t>در علل الشرائع به نحو دیگری نقل شده است «</w:t>
      </w:r>
      <w:r w:rsidR="00817E2D" w:rsidRPr="002654F4">
        <w:rPr>
          <w:rFonts w:hint="cs"/>
          <w:color w:val="008000"/>
          <w:rtl/>
        </w:rPr>
        <w:t>قُلْتُ فَهَلْ‏ عَلَيَ‏ إِنْ‏ شَكَكْتُ‏ فِي أَنَّهُ أَصَابَهُ شَيْ‏ءٌ أَنْ أَنْظُرَ فِيهِ فَأَقْلِبَهُ قَالَ لا</w:t>
      </w:r>
      <w:r>
        <w:rPr>
          <w:rFonts w:hint="cs"/>
          <w:rtl/>
          <w:lang w:bidi="ar-SA"/>
        </w:rPr>
        <w:t>»</w:t>
      </w:r>
      <w:r w:rsidR="00817E2D">
        <w:rPr>
          <w:rStyle w:val="FootnoteReference"/>
          <w:rtl/>
          <w:lang w:bidi="ar-SA"/>
        </w:rPr>
        <w:footnoteReference w:id="21"/>
      </w:r>
      <w:r>
        <w:rPr>
          <w:rFonts w:hint="cs"/>
          <w:rtl/>
          <w:lang w:bidi="ar-SA"/>
        </w:rPr>
        <w:t xml:space="preserve"> «ا</w:t>
      </w:r>
      <w:r w:rsidR="002654F4">
        <w:rPr>
          <w:rFonts w:hint="cs"/>
          <w:rtl/>
          <w:lang w:bidi="ar-SA"/>
        </w:rPr>
        <w:t>ق</w:t>
      </w:r>
      <w:r>
        <w:rPr>
          <w:rFonts w:hint="cs"/>
          <w:rtl/>
          <w:lang w:bidi="ar-SA"/>
        </w:rPr>
        <w:t>لبه»</w:t>
      </w:r>
      <w:r w:rsidR="002654F4">
        <w:rPr>
          <w:rFonts w:hint="cs"/>
          <w:rtl/>
          <w:lang w:bidi="ar-SA"/>
        </w:rPr>
        <w:t xml:space="preserve"> به معنای زیر و رو کردن آن شیء و نگاه کردن تمام قسمت‌های آن است و آن غیر از</w:t>
      </w:r>
      <w:r>
        <w:rPr>
          <w:rFonts w:hint="cs"/>
          <w:rtl/>
          <w:lang w:bidi="ar-SA"/>
        </w:rPr>
        <w:t xml:space="preserve"> فحص یسیر </w:t>
      </w:r>
      <w:r w:rsidR="002654F4">
        <w:rPr>
          <w:rFonts w:hint="cs"/>
          <w:rtl/>
          <w:lang w:bidi="ar-SA"/>
        </w:rPr>
        <w:t>است</w:t>
      </w:r>
      <w:r w:rsidR="00224EF8">
        <w:rPr>
          <w:rFonts w:hint="cs"/>
          <w:rtl/>
          <w:lang w:bidi="ar-SA"/>
        </w:rPr>
        <w:t xml:space="preserve"> لذا روایت دلیل بر جواز ترک قلب است نه جواز ترک فحص یسیر</w:t>
      </w:r>
      <w:r w:rsidR="00286C2D">
        <w:rPr>
          <w:rFonts w:hint="cs"/>
          <w:rtl/>
          <w:lang w:bidi="ar-SA"/>
        </w:rPr>
        <w:t xml:space="preserve">. </w:t>
      </w:r>
      <w:r w:rsidR="00FC2568">
        <w:rPr>
          <w:rFonts w:hint="cs"/>
          <w:rtl/>
          <w:lang w:bidi="ar-SA"/>
        </w:rPr>
        <w:t>ثانیا: مورد روایت</w:t>
      </w:r>
      <w:r w:rsidR="00261231">
        <w:rPr>
          <w:rFonts w:hint="cs"/>
          <w:rtl/>
          <w:lang w:bidi="ar-SA"/>
        </w:rPr>
        <w:t xml:space="preserve"> این است که شخص می‌خواهد</w:t>
      </w:r>
      <w:r w:rsidR="00FC2568">
        <w:rPr>
          <w:rFonts w:hint="cs"/>
          <w:rtl/>
          <w:lang w:bidi="ar-SA"/>
        </w:rPr>
        <w:t xml:space="preserve"> نماز </w:t>
      </w:r>
      <w:r w:rsidR="00261231">
        <w:rPr>
          <w:rFonts w:hint="cs"/>
          <w:rtl/>
          <w:lang w:bidi="ar-SA"/>
        </w:rPr>
        <w:t xml:space="preserve">بخواند </w:t>
      </w:r>
      <w:r w:rsidR="00FC2568">
        <w:rPr>
          <w:rFonts w:hint="cs"/>
          <w:rtl/>
          <w:lang w:bidi="ar-SA"/>
        </w:rPr>
        <w:t xml:space="preserve">در نماز </w:t>
      </w:r>
      <w:r w:rsidR="00DE1AAA">
        <w:rPr>
          <w:rFonts w:hint="cs"/>
          <w:rtl/>
          <w:lang w:bidi="ar-SA"/>
        </w:rPr>
        <w:t>«</w:t>
      </w:r>
      <w:r w:rsidR="00FC2568">
        <w:rPr>
          <w:rFonts w:hint="cs"/>
          <w:rtl/>
          <w:lang w:bidi="ar-SA"/>
        </w:rPr>
        <w:t>علم</w:t>
      </w:r>
      <w:r w:rsidR="00DE1AAA">
        <w:rPr>
          <w:rFonts w:hint="cs"/>
          <w:rtl/>
          <w:lang w:bidi="ar-SA"/>
        </w:rPr>
        <w:t>»</w:t>
      </w:r>
      <w:r w:rsidR="00FC2568">
        <w:rPr>
          <w:rFonts w:hint="cs"/>
          <w:rtl/>
          <w:lang w:bidi="ar-SA"/>
        </w:rPr>
        <w:t xml:space="preserve"> به نجاست مانع است و با شرب آبی که افتادن خون در آن مشکوک است فرق دارد. </w:t>
      </w:r>
    </w:p>
    <w:p w14:paraId="0205A12B" w14:textId="5D3F2932" w:rsidR="009238BF" w:rsidRDefault="00DE1AAA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با ذکر</w:t>
      </w:r>
      <w:r w:rsidR="0087191D">
        <w:rPr>
          <w:rFonts w:hint="cs"/>
          <w:rtl/>
          <w:lang w:bidi="ar-SA"/>
        </w:rPr>
        <w:t xml:space="preserve"> یک </w:t>
      </w:r>
      <w:r>
        <w:rPr>
          <w:rFonts w:hint="cs"/>
          <w:rtl/>
          <w:lang w:bidi="ar-SA"/>
        </w:rPr>
        <w:t>فرع فقهی فرق آن دو</w:t>
      </w:r>
      <w:r w:rsidR="0087191D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روشن می‌شود: </w:t>
      </w:r>
      <w:r w:rsidR="0087191D">
        <w:rPr>
          <w:rFonts w:hint="cs"/>
          <w:rtl/>
          <w:lang w:bidi="ar-SA"/>
        </w:rPr>
        <w:t xml:space="preserve">وقتی </w:t>
      </w:r>
      <w:r w:rsidR="00860D06">
        <w:rPr>
          <w:rFonts w:hint="cs"/>
          <w:rtl/>
          <w:lang w:bidi="ar-SA"/>
        </w:rPr>
        <w:t>آب و عبا نجس هستند</w:t>
      </w:r>
      <w:r w:rsidR="00913665">
        <w:rPr>
          <w:rFonts w:hint="cs"/>
          <w:rtl/>
          <w:lang w:bidi="ar-SA"/>
        </w:rPr>
        <w:t xml:space="preserve">. مکلف می‌تواند عبای خود را با اینکه می‌داند نجس است به دیگری بدهد تا با آن نماز بخواند </w:t>
      </w:r>
      <w:r w:rsidR="001314EF">
        <w:rPr>
          <w:rFonts w:hint="cs"/>
          <w:rtl/>
          <w:lang w:bidi="ar-SA"/>
        </w:rPr>
        <w:t xml:space="preserve">و اگر آن </w:t>
      </w:r>
      <w:r w:rsidR="007A4FC5">
        <w:rPr>
          <w:rFonts w:hint="cs"/>
          <w:rtl/>
          <w:lang w:bidi="ar-SA"/>
        </w:rPr>
        <w:t xml:space="preserve">شخص بعد از نماز متوجه </w:t>
      </w:r>
      <w:r w:rsidR="0047347D">
        <w:rPr>
          <w:rFonts w:hint="cs"/>
          <w:rtl/>
          <w:lang w:bidi="ar-SA"/>
        </w:rPr>
        <w:t>‌شود که عبا نجس بود اشکال ندارد زیرا نجاست مجهوله مبطل نماز نیست</w:t>
      </w:r>
      <w:r w:rsidR="001314EF">
        <w:rPr>
          <w:rFonts w:hint="cs"/>
          <w:rtl/>
          <w:lang w:bidi="ar-SA"/>
        </w:rPr>
        <w:t xml:space="preserve"> و </w:t>
      </w:r>
      <w:r w:rsidR="005B3231">
        <w:rPr>
          <w:rFonts w:hint="cs"/>
          <w:rtl/>
          <w:lang w:bidi="ar-SA"/>
        </w:rPr>
        <w:t>این کار مکلف سبب به خلاف واقع افتادن مصلی نشده است</w:t>
      </w:r>
      <w:r w:rsidR="00BD11BB">
        <w:rPr>
          <w:rFonts w:hint="cs"/>
          <w:rtl/>
          <w:lang w:bidi="ar-SA"/>
        </w:rPr>
        <w:t xml:space="preserve"> زیرا او علم به نجاست نداشت</w:t>
      </w:r>
      <w:r w:rsidR="005B3231">
        <w:rPr>
          <w:rFonts w:hint="cs"/>
          <w:rtl/>
          <w:lang w:bidi="ar-SA"/>
        </w:rPr>
        <w:t>.</w:t>
      </w:r>
      <w:r w:rsidR="0047347D">
        <w:rPr>
          <w:rFonts w:hint="cs"/>
          <w:rtl/>
          <w:lang w:bidi="ar-SA"/>
        </w:rPr>
        <w:t xml:space="preserve"> ولی </w:t>
      </w:r>
      <w:r w:rsidR="00BD11BB">
        <w:rPr>
          <w:rFonts w:hint="cs"/>
          <w:rtl/>
          <w:lang w:bidi="ar-SA"/>
        </w:rPr>
        <w:t xml:space="preserve">نمی‌تواند از او بخواهد که آب را بخورد زیرا این تسبیب به حرام است </w:t>
      </w:r>
      <w:r w:rsidR="00CA28D7">
        <w:rPr>
          <w:rFonts w:hint="cs"/>
          <w:rtl/>
          <w:lang w:bidi="ar-SA"/>
        </w:rPr>
        <w:t xml:space="preserve">زیرا </w:t>
      </w:r>
      <w:r w:rsidR="0047347D">
        <w:rPr>
          <w:rFonts w:hint="cs"/>
          <w:rtl/>
          <w:lang w:bidi="ar-SA"/>
        </w:rPr>
        <w:t>شرب آب</w:t>
      </w:r>
      <w:r w:rsidR="007A4FC5">
        <w:rPr>
          <w:rFonts w:hint="cs"/>
          <w:rtl/>
          <w:lang w:bidi="ar-SA"/>
        </w:rPr>
        <w:t xml:space="preserve"> نجس حرام واقعی است ولو طرف مقابل ندان</w:t>
      </w:r>
      <w:r w:rsidR="0047347D">
        <w:rPr>
          <w:rFonts w:hint="cs"/>
          <w:rtl/>
          <w:lang w:bidi="ar-SA"/>
        </w:rPr>
        <w:t>د و این کار شخص تسبیب به حرام است.</w:t>
      </w:r>
      <w:r w:rsidR="00CA28D7">
        <w:rPr>
          <w:rFonts w:hint="cs"/>
          <w:rtl/>
          <w:lang w:bidi="ar-SA"/>
        </w:rPr>
        <w:t xml:space="preserve"> </w:t>
      </w:r>
    </w:p>
    <w:p w14:paraId="12D6BA23" w14:textId="366BC609" w:rsidR="00902D67" w:rsidRDefault="009238BF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در این روایت </w:t>
      </w:r>
      <w:r w:rsidR="00483804">
        <w:rPr>
          <w:rFonts w:hint="cs"/>
          <w:rtl/>
          <w:lang w:bidi="ar-SA"/>
        </w:rPr>
        <w:t xml:space="preserve">بحث شک در نجس شدن آب نیست بلکه بحث خواندن نماز در لباس مشکوک النجاسة است </w:t>
      </w:r>
      <w:r w:rsidR="001A0678">
        <w:rPr>
          <w:rFonts w:hint="cs"/>
          <w:rtl/>
          <w:lang w:bidi="ar-SA"/>
        </w:rPr>
        <w:t xml:space="preserve">و احکام آن‌ها با هم فرق دارد و نمی‌توان از آن به سایر احکام مثل بحث حرمت شرب نجس تعدی کرد. </w:t>
      </w:r>
    </w:p>
    <w:p w14:paraId="7A3924B8" w14:textId="5B1C47A5" w:rsidR="00C55173" w:rsidRDefault="00D939E5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روایت امیرالمؤمنین علیه السلام نیز به اطلاق</w:t>
      </w:r>
      <w:r w:rsidR="007A4FC5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دلالت دارد و مفاد آن این است که </w:t>
      </w:r>
      <w:r w:rsidR="001A0678">
        <w:rPr>
          <w:rFonts w:hint="cs"/>
          <w:rtl/>
          <w:lang w:bidi="ar-SA"/>
        </w:rPr>
        <w:t>دچار وسواس نمی‌شوم</w:t>
      </w:r>
      <w:r w:rsidR="00E43947">
        <w:rPr>
          <w:rFonts w:hint="cs"/>
          <w:rtl/>
          <w:lang w:bidi="ar-SA"/>
        </w:rPr>
        <w:t xml:space="preserve">. و همان‌طور که اطلاق حدیث رفع </w:t>
      </w:r>
      <w:r w:rsidR="009D449F">
        <w:rPr>
          <w:rFonts w:hint="cs"/>
          <w:rtl/>
          <w:lang w:bidi="ar-SA"/>
        </w:rPr>
        <w:t xml:space="preserve">و قاعده‌ی حل از موارد فحص یسیر منصرف است این اطلاق نیز از فحص یسیر منصرف است. </w:t>
      </w:r>
    </w:p>
    <w:p w14:paraId="56330572" w14:textId="5055D769" w:rsidR="001A0678" w:rsidRPr="00AB2BEA" w:rsidRDefault="00C21194" w:rsidP="00FB3948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اما روایت مذکور در باب تذکیه نیز </w:t>
      </w:r>
      <w:r w:rsidR="005825D8">
        <w:rPr>
          <w:rFonts w:hint="cs"/>
          <w:rtl/>
          <w:lang w:bidi="ar-SA"/>
        </w:rPr>
        <w:t xml:space="preserve">مربوط به تذکیه است که </w:t>
      </w:r>
      <w:r w:rsidR="001A0678">
        <w:rPr>
          <w:rFonts w:hint="cs"/>
          <w:rtl/>
          <w:lang w:bidi="ar-SA"/>
        </w:rPr>
        <w:t xml:space="preserve">سوق مسلمین اماره تذکیه است و ربطی به </w:t>
      </w:r>
      <w:r w:rsidR="00A44BEA">
        <w:rPr>
          <w:rFonts w:hint="cs"/>
          <w:rtl/>
          <w:lang w:bidi="ar-SA"/>
        </w:rPr>
        <w:t xml:space="preserve">اصل عملی </w:t>
      </w:r>
      <w:r w:rsidR="00E32B7B">
        <w:rPr>
          <w:rFonts w:hint="cs"/>
          <w:rtl/>
          <w:lang w:bidi="ar-SA"/>
        </w:rPr>
        <w:t xml:space="preserve">ندارد. </w:t>
      </w:r>
      <w:r w:rsidR="001A0678">
        <w:rPr>
          <w:rFonts w:hint="cs"/>
          <w:rtl/>
          <w:lang w:bidi="ar-SA"/>
        </w:rPr>
        <w:t xml:space="preserve">و نمی‌توان آن را با این موارد قیاس کرد. </w:t>
      </w:r>
    </w:p>
    <w:sectPr w:rsidR="001A0678" w:rsidRPr="00AB2BEA" w:rsidSect="00457A5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74E2F7" w16cex:dateUtc="2025-12-02T0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FE3EB0" w16cid:durableId="7274E2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17933" w14:textId="77777777" w:rsidR="00490827" w:rsidRDefault="00490827" w:rsidP="00457A55">
      <w:pPr>
        <w:spacing w:after="0" w:line="240" w:lineRule="auto"/>
      </w:pPr>
      <w:r>
        <w:separator/>
      </w:r>
    </w:p>
  </w:endnote>
  <w:endnote w:type="continuationSeparator" w:id="0">
    <w:p w14:paraId="4BC4A7A2" w14:textId="77777777" w:rsidR="00490827" w:rsidRDefault="00490827" w:rsidP="0045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EDB4" w14:textId="77777777" w:rsidR="00457A55" w:rsidRDefault="00457A55" w:rsidP="007F1053">
    <w:pPr>
      <w:pStyle w:val="Footer"/>
    </w:pPr>
  </w:p>
  <w:p w14:paraId="18040E06" w14:textId="77777777" w:rsidR="00457A55" w:rsidRDefault="00457A55" w:rsidP="007F1053"/>
  <w:p w14:paraId="6E9ACAED" w14:textId="77777777" w:rsidR="00457A55" w:rsidRDefault="00457A55"/>
  <w:p w14:paraId="4367E2A1" w14:textId="77777777" w:rsidR="00457A55" w:rsidRDefault="00457A55"/>
  <w:p w14:paraId="036E1023" w14:textId="77777777" w:rsidR="00457A55" w:rsidRDefault="00457A55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95CF2" w14:textId="77777777" w:rsidR="00457A55" w:rsidRDefault="00457A55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AD5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5FBFB5E2" w14:textId="77777777" w:rsidR="00457A55" w:rsidRDefault="00457A55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D1D89" w14:textId="77777777" w:rsidR="00490827" w:rsidRDefault="00490827" w:rsidP="00457A55">
      <w:pPr>
        <w:spacing w:after="0" w:line="240" w:lineRule="auto"/>
      </w:pPr>
      <w:r>
        <w:separator/>
      </w:r>
    </w:p>
  </w:footnote>
  <w:footnote w:type="continuationSeparator" w:id="0">
    <w:p w14:paraId="79175BD3" w14:textId="77777777" w:rsidR="00490827" w:rsidRDefault="00490827" w:rsidP="00457A55">
      <w:pPr>
        <w:spacing w:after="0" w:line="240" w:lineRule="auto"/>
      </w:pPr>
      <w:r>
        <w:continuationSeparator/>
      </w:r>
    </w:p>
  </w:footnote>
  <w:footnote w:id="1">
    <w:p w14:paraId="496812EA" w14:textId="77777777" w:rsidR="005A63D0" w:rsidRPr="00C91CCD" w:rsidRDefault="005A63D0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جامع احادیث الشیعة، بروجردی، حسین، ج30، ص546؛ مستدرك الوسائل و مستنبط المسائل، ج‏18، ص: 20.</w:t>
      </w:r>
    </w:p>
  </w:footnote>
  <w:footnote w:id="2">
    <w:p w14:paraId="38AA6B42" w14:textId="77777777" w:rsidR="005A63D0" w:rsidRPr="00C91CCD" w:rsidRDefault="005A63D0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>تهذیب الاحکام (تحقیق خراسان)، طوسی، محمد بن حسن، ج5، ص72، ح47.</w:t>
      </w:r>
    </w:p>
  </w:footnote>
  <w:footnote w:id="3">
    <w:p w14:paraId="1E1485FE" w14:textId="781FA340" w:rsidR="0047140F" w:rsidRPr="00C91CCD" w:rsidRDefault="0047140F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>الا</w:t>
      </w:r>
      <w:r w:rsidR="00C71ED8" w:rsidRPr="00C91CCD">
        <w:rPr>
          <w:rFonts w:ascii="NoorLotus" w:hAnsi="NoorLotus"/>
          <w:rtl/>
        </w:rPr>
        <w:t>سراء:15.</w:t>
      </w:r>
    </w:p>
  </w:footnote>
  <w:footnote w:id="4">
    <w:p w14:paraId="2CCB59C0" w14:textId="1F1DDA16" w:rsidR="005A63D0" w:rsidRPr="00C91CCD" w:rsidRDefault="005A63D0" w:rsidP="00C91CCD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/>
          <w:color w:val="3C3C3C"/>
          <w:rtl/>
        </w:rPr>
        <w:t>نهایة الأفکار. ج 3، ص 474.</w:t>
      </w:r>
    </w:p>
  </w:footnote>
  <w:footnote w:id="5">
    <w:p w14:paraId="7E85D59D" w14:textId="77777777" w:rsidR="005A63D0" w:rsidRPr="00C91CCD" w:rsidRDefault="005A63D0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>وسائل الشیعة، ج27، ص26، ح16.</w:t>
      </w:r>
    </w:p>
  </w:footnote>
  <w:footnote w:id="6">
    <w:p w14:paraId="125261B1" w14:textId="77777777" w:rsidR="005A63D0" w:rsidRPr="00C91CCD" w:rsidRDefault="005A63D0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 xml:space="preserve">وسائل الشیعة، ج27، ص163، ح33. </w:t>
      </w:r>
    </w:p>
  </w:footnote>
  <w:footnote w:id="7">
    <w:p w14:paraId="6300548B" w14:textId="70588967" w:rsidR="005944EA" w:rsidRPr="00C91CCD" w:rsidRDefault="005944EA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>مقرر: ایشان این مطلب را در جلسه622 درس خارج اصول خود بیان کردند.</w:t>
      </w:r>
    </w:p>
  </w:footnote>
  <w:footnote w:id="8">
    <w:p w14:paraId="328535C4" w14:textId="5777F06D" w:rsidR="001F0861" w:rsidRPr="00C91CCD" w:rsidRDefault="001F0861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>وسائل الشیعة، ج27، ص167، ح46.</w:t>
      </w:r>
    </w:p>
  </w:footnote>
  <w:footnote w:id="9">
    <w:p w14:paraId="4ED4D0FE" w14:textId="77777777" w:rsidR="005944EA" w:rsidRPr="00C91CCD" w:rsidRDefault="005944EA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</w:rPr>
        <w:t xml:space="preserve"> </w:t>
      </w:r>
      <w:r w:rsidRPr="00C91CCD">
        <w:rPr>
          <w:rFonts w:ascii="NoorLotus" w:hAnsi="NoorLotus"/>
          <w:rtl/>
        </w:rPr>
        <w:t>وسائل الشیعة، شیخ حر عاملی، محمد بن حسن، ج27، ص119، ح35.</w:t>
      </w:r>
    </w:p>
  </w:footnote>
  <w:footnote w:id="10">
    <w:p w14:paraId="41604CB9" w14:textId="77777777" w:rsidR="00811F82" w:rsidRPr="00C91CCD" w:rsidRDefault="00811F82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</w:rPr>
        <w:t xml:space="preserve"> </w:t>
      </w:r>
      <w:r w:rsidRPr="00C91CCD">
        <w:rPr>
          <w:rFonts w:ascii="NoorLotus" w:hAnsi="NoorLotus"/>
          <w:rtl/>
        </w:rPr>
        <w:t>الکافی (ط-دارالحدیث)، کلینی، محمد بن یعقوبی، ج1، ص171.</w:t>
      </w:r>
    </w:p>
  </w:footnote>
  <w:footnote w:id="11">
    <w:p w14:paraId="6372E0A8" w14:textId="77777777" w:rsidR="00DB5B15" w:rsidRPr="00C91CCD" w:rsidRDefault="00DB5B15" w:rsidP="00C91CCD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 w:hint="cs"/>
          <w:color w:val="3C3C3C"/>
          <w:rtl/>
        </w:rPr>
        <w:t>خوئی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 w:hint="cs"/>
          <w:color w:val="3C3C3C"/>
          <w:rtl/>
        </w:rPr>
        <w:t>ابوالقاسم</w:t>
      </w:r>
      <w:r w:rsidRPr="00C91CCD">
        <w:rPr>
          <w:rFonts w:ascii="NoorLotus" w:hAnsi="NoorLotus"/>
          <w:color w:val="3C3C3C"/>
          <w:rtl/>
        </w:rPr>
        <w:t>. مصباح الأصول. ج 2، مکتبة الداوري، 1422، ص 494.</w:t>
      </w:r>
    </w:p>
  </w:footnote>
  <w:footnote w:id="12">
    <w:p w14:paraId="5AC0C585" w14:textId="03F7E899" w:rsidR="00350681" w:rsidRPr="00C91CCD" w:rsidRDefault="00350681" w:rsidP="00701B2D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/>
          <w:color w:val="3C3C3C"/>
          <w:rtl/>
        </w:rPr>
        <w:t>مصباح الأصول. ج 3، ص 409.</w:t>
      </w:r>
    </w:p>
  </w:footnote>
  <w:footnote w:id="13">
    <w:p w14:paraId="51E61DA7" w14:textId="243B2C77" w:rsidR="00FD0F56" w:rsidRPr="00C91CCD" w:rsidRDefault="00FD0F56" w:rsidP="00B0772C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/>
          <w:color w:val="3C3C3C"/>
          <w:rtl/>
        </w:rPr>
        <w:t>فوائد الاُصول (النائیني). ج 4، ص 304</w:t>
      </w:r>
      <w:r w:rsidR="00647031" w:rsidRPr="00C91CCD">
        <w:rPr>
          <w:rFonts w:ascii="NoorLotus" w:hAnsi="NoorLotus"/>
          <w:color w:val="3C3C3C"/>
          <w:rtl/>
        </w:rPr>
        <w:t>0300.</w:t>
      </w:r>
    </w:p>
  </w:footnote>
  <w:footnote w:id="14">
    <w:p w14:paraId="444FC955" w14:textId="77351953" w:rsidR="00785FE0" w:rsidRPr="00C91CCD" w:rsidRDefault="00785FE0" w:rsidP="00B0772C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/>
          <w:color w:val="3C3C3C"/>
          <w:rtl/>
        </w:rPr>
        <w:t>مصباح الأصول. ج 2، ص 512.</w:t>
      </w:r>
    </w:p>
  </w:footnote>
  <w:footnote w:id="15">
    <w:p w14:paraId="0EF78F5E" w14:textId="296C106E" w:rsidR="00785FE0" w:rsidRPr="00C91CCD" w:rsidRDefault="00785FE0" w:rsidP="00B0772C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/>
          <w:color w:val="3C3C3C"/>
          <w:rtl/>
        </w:rPr>
        <w:t>موسوعة الإمام الخوئي. ج 26، ص 100.</w:t>
      </w:r>
    </w:p>
  </w:footnote>
  <w:footnote w:id="16">
    <w:p w14:paraId="6352AECE" w14:textId="4796720B" w:rsidR="0021250B" w:rsidRPr="00C91CCD" w:rsidRDefault="0021250B" w:rsidP="00DC2F08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C91CCD">
        <w:rPr>
          <w:rStyle w:val="FootnoteReference"/>
          <w:rFonts w:cs="NoorLotus"/>
          <w:color w:val="3C3C3C"/>
        </w:rPr>
        <w:footnoteRef/>
      </w:r>
      <w:r w:rsidRPr="00C91CCD">
        <w:rPr>
          <w:rFonts w:ascii="Cambria" w:hAnsi="Cambria" w:cs="Cambria" w:hint="cs"/>
          <w:color w:val="3C3C3C"/>
          <w:rtl/>
        </w:rPr>
        <w:t> </w:t>
      </w:r>
      <w:r w:rsidRPr="00C91CCD">
        <w:rPr>
          <w:rFonts w:ascii="NoorLotus" w:hAnsi="NoorLotus"/>
          <w:color w:val="3C3C3C"/>
          <w:rtl/>
        </w:rPr>
        <w:t xml:space="preserve"> </w:t>
      </w:r>
      <w:r w:rsidRPr="00C91CCD">
        <w:rPr>
          <w:rFonts w:ascii="NoorLotus" w:hAnsi="NoorLotus"/>
          <w:color w:val="3C3C3C"/>
          <w:rtl/>
        </w:rPr>
        <w:t>مباحث الأصول</w:t>
      </w:r>
      <w:r w:rsidR="00DC2F08">
        <w:rPr>
          <w:rFonts w:ascii="NoorLotus" w:hAnsi="NoorLotus" w:hint="cs"/>
          <w:color w:val="3C3C3C"/>
          <w:rtl/>
        </w:rPr>
        <w:t>،</w:t>
      </w:r>
      <w:r w:rsidRPr="00C91CCD">
        <w:rPr>
          <w:rFonts w:ascii="NoorLotus" w:hAnsi="NoorLotus"/>
          <w:color w:val="3C3C3C"/>
          <w:rtl/>
        </w:rPr>
        <w:t xml:space="preserve"> ج 2، ص 452.</w:t>
      </w:r>
    </w:p>
  </w:footnote>
  <w:footnote w:id="17">
    <w:p w14:paraId="54983A17" w14:textId="1B2F1928" w:rsidR="0047463C" w:rsidRPr="00C91CCD" w:rsidRDefault="0047463C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>وسائل الشیعة، ج3، ص466، ح1.</w:t>
      </w:r>
    </w:p>
  </w:footnote>
  <w:footnote w:id="18">
    <w:p w14:paraId="647F51F5" w14:textId="17B318F5" w:rsidR="00A661EB" w:rsidRPr="00C91CCD" w:rsidRDefault="00A661EB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 xml:space="preserve">وسائل الشیعة، ج3، ص467، ح5. </w:t>
      </w:r>
    </w:p>
  </w:footnote>
  <w:footnote w:id="19">
    <w:p w14:paraId="51D0A57E" w14:textId="77777777" w:rsidR="006B61BC" w:rsidRPr="00C91CCD" w:rsidRDefault="006B61BC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</w:rPr>
        <w:t xml:space="preserve"> </w:t>
      </w:r>
      <w:r w:rsidRPr="00C91CCD">
        <w:rPr>
          <w:rFonts w:ascii="NoorLotus" w:hAnsi="NoorLotus"/>
          <w:rtl/>
        </w:rPr>
        <w:t>قرب الاسناد، ص98.</w:t>
      </w:r>
    </w:p>
  </w:footnote>
  <w:footnote w:id="20">
    <w:p w14:paraId="59E41FA5" w14:textId="469738B9" w:rsidR="006B61BC" w:rsidRPr="00C91CCD" w:rsidRDefault="006B61BC" w:rsidP="00C91CCD">
      <w:pPr>
        <w:pStyle w:val="FootnoteText"/>
        <w:spacing w:after="0" w:afterAutospacing="0"/>
        <w:rPr>
          <w:rFonts w:ascii="NoorLotus" w:hAnsi="NoorLotus"/>
          <w:rtl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b/>
          <w:bCs/>
          <w:rtl/>
        </w:rPr>
        <w:t xml:space="preserve">وسائل الشیعة، ج3، </w:t>
      </w:r>
      <w:r w:rsidRPr="00C91CCD">
        <w:rPr>
          <w:rFonts w:ascii="NoorLotus" w:hAnsi="NoorLotus"/>
          <w:rtl/>
        </w:rPr>
        <w:t>ص491، ح3.</w:t>
      </w:r>
      <w:r w:rsidR="00BE37D5" w:rsidRPr="00C91CCD">
        <w:rPr>
          <w:rFonts w:ascii="NoorLotus" w:hAnsi="NoorLotus"/>
          <w:rtl/>
        </w:rPr>
        <w:t xml:space="preserve"> متن روایت: صحیحه بزنطی: «وَ بِإِسْنَادِهِ عَنْ مُحَمَّدِ بْنِ عَلِيٍّ يَعْنِي ابْنَ مَحْبُوبٍ عَنْ أَحْمَدَ بْنِ مُحَمَّدٍ عَنْ أَحْمَدَ بْنِ مُحَمَّدِ بْنِ أَبِي نَصْرٍ قَالَ: سَأَلْتُهُ عَنِ الرَّجُلِ يَأْتِي السُّوقَ فَيَشْتَرِي جُبَّةَ فِرَاءٍ لَا يَدْرِي أَ ذَكِيَّةٌ هِيَ أَمْ غَيْرُ ذَكِيَّةٍ أَ يُصَلِّي فِيهَا فَقَالَ نَعَمْ لَيْسَ عَلَيْكُمُ الْمَسْأَلَةُ إِنَّ أَبَا جَعْفَرٍ ع كَانَ يَقُولُ إِنَ‏ الْخَوَارِجَ‏ ضَيَّقُوا عَلَى‏ أَنْفُسِهِمْ‏ بِجَهَالَتِهِمْ إِنَّ الدِّينَ أَوْسَعُ مِنْ ذَلِكَ.»</w:t>
      </w:r>
    </w:p>
  </w:footnote>
  <w:footnote w:id="21">
    <w:p w14:paraId="7A729BF6" w14:textId="2F6C4769" w:rsidR="00817E2D" w:rsidRPr="00C91CCD" w:rsidRDefault="00817E2D" w:rsidP="00C91CCD">
      <w:pPr>
        <w:pStyle w:val="FootnoteText"/>
        <w:spacing w:after="0" w:afterAutospacing="0"/>
        <w:rPr>
          <w:rFonts w:ascii="NoorLotus" w:hAnsi="NoorLotus"/>
        </w:rPr>
      </w:pPr>
      <w:r w:rsidRPr="00C91CCD">
        <w:rPr>
          <w:rStyle w:val="FootnoteReference"/>
          <w:rFonts w:cs="NoorLotus"/>
        </w:rPr>
        <w:footnoteRef/>
      </w:r>
      <w:r w:rsidRPr="00C91CCD">
        <w:rPr>
          <w:rFonts w:ascii="NoorLotus" w:hAnsi="NoorLotus"/>
          <w:rtl/>
        </w:rPr>
        <w:t xml:space="preserve"> </w:t>
      </w:r>
      <w:r w:rsidRPr="00C91CCD">
        <w:rPr>
          <w:rFonts w:ascii="NoorLotus" w:hAnsi="NoorLotus"/>
          <w:rtl/>
        </w:rPr>
        <w:t>علل الشرائع، ج2، ص361.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8D74E" w14:textId="77777777" w:rsidR="00457A55" w:rsidRDefault="00457A55" w:rsidP="007F1053">
    <w:pPr>
      <w:pStyle w:val="Header"/>
    </w:pPr>
  </w:p>
  <w:p w14:paraId="60A89404" w14:textId="77777777" w:rsidR="00457A55" w:rsidRDefault="00457A55" w:rsidP="007F1053"/>
  <w:p w14:paraId="3E433EA3" w14:textId="77777777" w:rsidR="00457A55" w:rsidRDefault="00457A55"/>
  <w:p w14:paraId="34C6BD3F" w14:textId="77777777" w:rsidR="00457A55" w:rsidRDefault="00457A55"/>
  <w:p w14:paraId="4756DF0C" w14:textId="77777777" w:rsidR="00457A55" w:rsidRDefault="00457A55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61218" w14:textId="1CB32CDF" w:rsidR="00457A55" w:rsidRPr="009E10DD" w:rsidRDefault="00457A55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جلسه:56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خ:11/9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55"/>
    <w:rsid w:val="00016165"/>
    <w:rsid w:val="00026C05"/>
    <w:rsid w:val="0002723A"/>
    <w:rsid w:val="00045CF9"/>
    <w:rsid w:val="00045F6F"/>
    <w:rsid w:val="000821A5"/>
    <w:rsid w:val="000A4244"/>
    <w:rsid w:val="000A55E5"/>
    <w:rsid w:val="000A630F"/>
    <w:rsid w:val="000B4EFA"/>
    <w:rsid w:val="000B65AD"/>
    <w:rsid w:val="000C3997"/>
    <w:rsid w:val="000C6212"/>
    <w:rsid w:val="000D0212"/>
    <w:rsid w:val="000D7AE1"/>
    <w:rsid w:val="000E0570"/>
    <w:rsid w:val="000F34BD"/>
    <w:rsid w:val="0011371C"/>
    <w:rsid w:val="00113D35"/>
    <w:rsid w:val="00124597"/>
    <w:rsid w:val="001314EF"/>
    <w:rsid w:val="00132065"/>
    <w:rsid w:val="001416F8"/>
    <w:rsid w:val="00151D97"/>
    <w:rsid w:val="001524F9"/>
    <w:rsid w:val="001546AA"/>
    <w:rsid w:val="00170BFF"/>
    <w:rsid w:val="00172848"/>
    <w:rsid w:val="00194C2C"/>
    <w:rsid w:val="001A0678"/>
    <w:rsid w:val="001A34B0"/>
    <w:rsid w:val="001B0B70"/>
    <w:rsid w:val="001B6FD2"/>
    <w:rsid w:val="001D7F4D"/>
    <w:rsid w:val="001F0861"/>
    <w:rsid w:val="001F3F9E"/>
    <w:rsid w:val="002104AA"/>
    <w:rsid w:val="0021250B"/>
    <w:rsid w:val="00224EF8"/>
    <w:rsid w:val="00225B7A"/>
    <w:rsid w:val="00231235"/>
    <w:rsid w:val="00240642"/>
    <w:rsid w:val="00254DE6"/>
    <w:rsid w:val="00255C00"/>
    <w:rsid w:val="00261231"/>
    <w:rsid w:val="0026168E"/>
    <w:rsid w:val="002654F4"/>
    <w:rsid w:val="002778C4"/>
    <w:rsid w:val="00285FC6"/>
    <w:rsid w:val="00286183"/>
    <w:rsid w:val="00286C2D"/>
    <w:rsid w:val="00297F31"/>
    <w:rsid w:val="002A7875"/>
    <w:rsid w:val="002B3D83"/>
    <w:rsid w:val="002B7EA8"/>
    <w:rsid w:val="002C0709"/>
    <w:rsid w:val="002D3F66"/>
    <w:rsid w:val="002E08B3"/>
    <w:rsid w:val="002E0C40"/>
    <w:rsid w:val="002E10C4"/>
    <w:rsid w:val="002E69D0"/>
    <w:rsid w:val="002F3390"/>
    <w:rsid w:val="002F674E"/>
    <w:rsid w:val="002F6E74"/>
    <w:rsid w:val="00310235"/>
    <w:rsid w:val="00312F9C"/>
    <w:rsid w:val="003252CF"/>
    <w:rsid w:val="00340587"/>
    <w:rsid w:val="00350681"/>
    <w:rsid w:val="003552AE"/>
    <w:rsid w:val="00370B42"/>
    <w:rsid w:val="00373A36"/>
    <w:rsid w:val="00386159"/>
    <w:rsid w:val="00390F67"/>
    <w:rsid w:val="003A0DA9"/>
    <w:rsid w:val="003A34DC"/>
    <w:rsid w:val="003B203E"/>
    <w:rsid w:val="003B4048"/>
    <w:rsid w:val="003C1BD7"/>
    <w:rsid w:val="003E2E1A"/>
    <w:rsid w:val="003E3123"/>
    <w:rsid w:val="00402B07"/>
    <w:rsid w:val="00415D02"/>
    <w:rsid w:val="00416BB4"/>
    <w:rsid w:val="004364FC"/>
    <w:rsid w:val="0043682F"/>
    <w:rsid w:val="00440AE4"/>
    <w:rsid w:val="0044183D"/>
    <w:rsid w:val="00457A55"/>
    <w:rsid w:val="00457C5F"/>
    <w:rsid w:val="0047140F"/>
    <w:rsid w:val="00471B46"/>
    <w:rsid w:val="00472CEE"/>
    <w:rsid w:val="0047347D"/>
    <w:rsid w:val="0047463C"/>
    <w:rsid w:val="00474AE1"/>
    <w:rsid w:val="00483804"/>
    <w:rsid w:val="00490827"/>
    <w:rsid w:val="0049470C"/>
    <w:rsid w:val="004A02C8"/>
    <w:rsid w:val="004C4BFE"/>
    <w:rsid w:val="004D51E9"/>
    <w:rsid w:val="004E14D7"/>
    <w:rsid w:val="004E202E"/>
    <w:rsid w:val="00503FC1"/>
    <w:rsid w:val="00521624"/>
    <w:rsid w:val="0053566D"/>
    <w:rsid w:val="00536B4C"/>
    <w:rsid w:val="00565337"/>
    <w:rsid w:val="005720F7"/>
    <w:rsid w:val="00572AA6"/>
    <w:rsid w:val="00581D36"/>
    <w:rsid w:val="005825D8"/>
    <w:rsid w:val="00586187"/>
    <w:rsid w:val="00592044"/>
    <w:rsid w:val="00593686"/>
    <w:rsid w:val="005944EA"/>
    <w:rsid w:val="005A5109"/>
    <w:rsid w:val="005A63D0"/>
    <w:rsid w:val="005B3231"/>
    <w:rsid w:val="005D0621"/>
    <w:rsid w:val="0060637E"/>
    <w:rsid w:val="00620896"/>
    <w:rsid w:val="00630C46"/>
    <w:rsid w:val="00632E7D"/>
    <w:rsid w:val="00647031"/>
    <w:rsid w:val="00654BCF"/>
    <w:rsid w:val="00673BA8"/>
    <w:rsid w:val="00676CEF"/>
    <w:rsid w:val="00677CC6"/>
    <w:rsid w:val="00685125"/>
    <w:rsid w:val="006878A8"/>
    <w:rsid w:val="00695D5F"/>
    <w:rsid w:val="006A50A1"/>
    <w:rsid w:val="006B05D4"/>
    <w:rsid w:val="006B61BC"/>
    <w:rsid w:val="006C592C"/>
    <w:rsid w:val="006E5BCC"/>
    <w:rsid w:val="006F107E"/>
    <w:rsid w:val="006F321D"/>
    <w:rsid w:val="00701B2D"/>
    <w:rsid w:val="00702BBA"/>
    <w:rsid w:val="007078F9"/>
    <w:rsid w:val="00713ADD"/>
    <w:rsid w:val="00717E45"/>
    <w:rsid w:val="007226A9"/>
    <w:rsid w:val="00741ABD"/>
    <w:rsid w:val="00756410"/>
    <w:rsid w:val="00756FF0"/>
    <w:rsid w:val="00757275"/>
    <w:rsid w:val="00765E44"/>
    <w:rsid w:val="007703F5"/>
    <w:rsid w:val="00773914"/>
    <w:rsid w:val="00774978"/>
    <w:rsid w:val="00780616"/>
    <w:rsid w:val="00785FE0"/>
    <w:rsid w:val="00797323"/>
    <w:rsid w:val="007A4FC5"/>
    <w:rsid w:val="007B448B"/>
    <w:rsid w:val="007D4831"/>
    <w:rsid w:val="007D7DD4"/>
    <w:rsid w:val="007E09B1"/>
    <w:rsid w:val="007F4F8D"/>
    <w:rsid w:val="007F62B7"/>
    <w:rsid w:val="0080550B"/>
    <w:rsid w:val="00811F82"/>
    <w:rsid w:val="008175D0"/>
    <w:rsid w:val="00817C46"/>
    <w:rsid w:val="00817E2D"/>
    <w:rsid w:val="00825F1B"/>
    <w:rsid w:val="00841BE3"/>
    <w:rsid w:val="0086006C"/>
    <w:rsid w:val="00860D06"/>
    <w:rsid w:val="0087191D"/>
    <w:rsid w:val="0088521C"/>
    <w:rsid w:val="00894249"/>
    <w:rsid w:val="008A269D"/>
    <w:rsid w:val="008A2B1E"/>
    <w:rsid w:val="008E3AD5"/>
    <w:rsid w:val="008F082E"/>
    <w:rsid w:val="008F323C"/>
    <w:rsid w:val="008F7D2E"/>
    <w:rsid w:val="00902285"/>
    <w:rsid w:val="00902D67"/>
    <w:rsid w:val="0091013A"/>
    <w:rsid w:val="00913665"/>
    <w:rsid w:val="00913E22"/>
    <w:rsid w:val="009149E7"/>
    <w:rsid w:val="009238BF"/>
    <w:rsid w:val="00946126"/>
    <w:rsid w:val="009548CC"/>
    <w:rsid w:val="00955D03"/>
    <w:rsid w:val="00965C65"/>
    <w:rsid w:val="00966FEB"/>
    <w:rsid w:val="00983AD0"/>
    <w:rsid w:val="00987973"/>
    <w:rsid w:val="00997265"/>
    <w:rsid w:val="009B1E90"/>
    <w:rsid w:val="009B3B0A"/>
    <w:rsid w:val="009D449F"/>
    <w:rsid w:val="009D4903"/>
    <w:rsid w:val="009D52AD"/>
    <w:rsid w:val="009E40A4"/>
    <w:rsid w:val="009E6214"/>
    <w:rsid w:val="00A2145E"/>
    <w:rsid w:val="00A358D3"/>
    <w:rsid w:val="00A36AFB"/>
    <w:rsid w:val="00A37055"/>
    <w:rsid w:val="00A44BEA"/>
    <w:rsid w:val="00A553D6"/>
    <w:rsid w:val="00A574F3"/>
    <w:rsid w:val="00A63314"/>
    <w:rsid w:val="00A661EB"/>
    <w:rsid w:val="00A81437"/>
    <w:rsid w:val="00A92D9A"/>
    <w:rsid w:val="00AA1BEC"/>
    <w:rsid w:val="00AA3656"/>
    <w:rsid w:val="00AB2BEA"/>
    <w:rsid w:val="00AB3F9A"/>
    <w:rsid w:val="00AD3B68"/>
    <w:rsid w:val="00AD3D35"/>
    <w:rsid w:val="00AD7E4D"/>
    <w:rsid w:val="00AF422D"/>
    <w:rsid w:val="00AF665B"/>
    <w:rsid w:val="00B0772C"/>
    <w:rsid w:val="00B354CA"/>
    <w:rsid w:val="00B44122"/>
    <w:rsid w:val="00B47556"/>
    <w:rsid w:val="00B4799D"/>
    <w:rsid w:val="00B623AC"/>
    <w:rsid w:val="00B6548C"/>
    <w:rsid w:val="00B67C45"/>
    <w:rsid w:val="00B805F7"/>
    <w:rsid w:val="00BA0119"/>
    <w:rsid w:val="00BA2D76"/>
    <w:rsid w:val="00BA5FE3"/>
    <w:rsid w:val="00BA6BAB"/>
    <w:rsid w:val="00BB13CE"/>
    <w:rsid w:val="00BC1866"/>
    <w:rsid w:val="00BC7880"/>
    <w:rsid w:val="00BD100E"/>
    <w:rsid w:val="00BD11BB"/>
    <w:rsid w:val="00BE37D5"/>
    <w:rsid w:val="00BE7593"/>
    <w:rsid w:val="00C0175D"/>
    <w:rsid w:val="00C21194"/>
    <w:rsid w:val="00C22DC1"/>
    <w:rsid w:val="00C469FD"/>
    <w:rsid w:val="00C55173"/>
    <w:rsid w:val="00C71ED8"/>
    <w:rsid w:val="00C769A4"/>
    <w:rsid w:val="00C7778B"/>
    <w:rsid w:val="00C83AF0"/>
    <w:rsid w:val="00C87B72"/>
    <w:rsid w:val="00C91CCD"/>
    <w:rsid w:val="00C931A9"/>
    <w:rsid w:val="00CA28D7"/>
    <w:rsid w:val="00CA2C09"/>
    <w:rsid w:val="00CB6657"/>
    <w:rsid w:val="00CC2C73"/>
    <w:rsid w:val="00CE2249"/>
    <w:rsid w:val="00CF71C8"/>
    <w:rsid w:val="00D51BCC"/>
    <w:rsid w:val="00D5677E"/>
    <w:rsid w:val="00D86D3B"/>
    <w:rsid w:val="00D939E5"/>
    <w:rsid w:val="00DA16DF"/>
    <w:rsid w:val="00DA3B6E"/>
    <w:rsid w:val="00DA4B24"/>
    <w:rsid w:val="00DA4FF7"/>
    <w:rsid w:val="00DB5B15"/>
    <w:rsid w:val="00DB694F"/>
    <w:rsid w:val="00DC2F08"/>
    <w:rsid w:val="00DD4497"/>
    <w:rsid w:val="00DD4AD3"/>
    <w:rsid w:val="00DD68EE"/>
    <w:rsid w:val="00DE1AAA"/>
    <w:rsid w:val="00DE4A3A"/>
    <w:rsid w:val="00DE73D3"/>
    <w:rsid w:val="00DF3BDE"/>
    <w:rsid w:val="00DF7B66"/>
    <w:rsid w:val="00E007CE"/>
    <w:rsid w:val="00E11481"/>
    <w:rsid w:val="00E12D12"/>
    <w:rsid w:val="00E21C06"/>
    <w:rsid w:val="00E228CE"/>
    <w:rsid w:val="00E30C67"/>
    <w:rsid w:val="00E32B7B"/>
    <w:rsid w:val="00E43656"/>
    <w:rsid w:val="00E43947"/>
    <w:rsid w:val="00E44C38"/>
    <w:rsid w:val="00E45B2F"/>
    <w:rsid w:val="00E616AC"/>
    <w:rsid w:val="00E75C3F"/>
    <w:rsid w:val="00E81C71"/>
    <w:rsid w:val="00E85D74"/>
    <w:rsid w:val="00E95442"/>
    <w:rsid w:val="00E972AA"/>
    <w:rsid w:val="00EA116B"/>
    <w:rsid w:val="00EA4700"/>
    <w:rsid w:val="00EC1B16"/>
    <w:rsid w:val="00EC2C7F"/>
    <w:rsid w:val="00EC3F34"/>
    <w:rsid w:val="00EC751F"/>
    <w:rsid w:val="00ED58F3"/>
    <w:rsid w:val="00EE20A9"/>
    <w:rsid w:val="00EF49C1"/>
    <w:rsid w:val="00F10F95"/>
    <w:rsid w:val="00F14CDF"/>
    <w:rsid w:val="00F17A8B"/>
    <w:rsid w:val="00F21F65"/>
    <w:rsid w:val="00F34384"/>
    <w:rsid w:val="00F403C4"/>
    <w:rsid w:val="00F5271C"/>
    <w:rsid w:val="00F62C53"/>
    <w:rsid w:val="00F74C98"/>
    <w:rsid w:val="00F77305"/>
    <w:rsid w:val="00F84827"/>
    <w:rsid w:val="00F947B8"/>
    <w:rsid w:val="00FA4993"/>
    <w:rsid w:val="00FA54C6"/>
    <w:rsid w:val="00FB3948"/>
    <w:rsid w:val="00FB7A62"/>
    <w:rsid w:val="00FC04D6"/>
    <w:rsid w:val="00FC2568"/>
    <w:rsid w:val="00FC3A6D"/>
    <w:rsid w:val="00FD0F56"/>
    <w:rsid w:val="00FD16E2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1E9B1D"/>
  <w15:chartTrackingRefBased/>
  <w15:docId w15:val="{8DD009A6-BCA7-46EE-A830-A4A9F22D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71C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F5271C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F5271C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71C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271C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5271C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271C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55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55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55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55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55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7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55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45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55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457A55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457A55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7A55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7A55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57A55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57A55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57A55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7A55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57A5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7A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7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A55"/>
    <w:rPr>
      <w:rFonts w:cs="B Badr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57A55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5944EA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4EA"/>
    <w:rPr>
      <w:rFonts w:cs="B Bad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4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FB394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0785-D8B6-483E-91E1-AB0D583A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265</cp:revision>
  <cp:lastPrinted>2025-12-02T12:08:00Z</cp:lastPrinted>
  <dcterms:created xsi:type="dcterms:W3CDTF">2025-12-02T04:44:00Z</dcterms:created>
  <dcterms:modified xsi:type="dcterms:W3CDTF">2025-12-04T04:50:00Z</dcterms:modified>
</cp:coreProperties>
</file>