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7A7E7" w14:textId="77777777" w:rsidR="00C917F7" w:rsidRDefault="00C917F7" w:rsidP="00C917F7">
      <w:pPr>
        <w:rPr>
          <w:rFonts w:cs="IRMitra"/>
          <w:b/>
          <w:bCs/>
          <w:color w:val="0070C0"/>
        </w:rPr>
      </w:pPr>
      <w:r>
        <w:rPr>
          <w:rFonts w:cs="IRMitra"/>
          <w:b/>
          <w:bCs/>
          <w:color w:val="0070C0"/>
          <w:rtl/>
        </w:rPr>
        <w:t>دروس خارج فقه استاد معظم حاج شیخ محمدتقی شهیدی</w:t>
      </w:r>
    </w:p>
    <w:p w14:paraId="7F110A7A" w14:textId="77777777" w:rsidR="00C917F7" w:rsidRDefault="00C917F7" w:rsidP="00C917F7">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کتاب صلاة - سال دهم</w:t>
      </w:r>
    </w:p>
    <w:p w14:paraId="4BCBE80D" w14:textId="77777777" w:rsidR="00C917F7" w:rsidRDefault="00C917F7" w:rsidP="00C917F7">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سال 1404-1405</w:t>
      </w:r>
    </w:p>
    <w:p w14:paraId="68920CC4" w14:textId="77777777" w:rsidR="00C917F7" w:rsidRDefault="00C917F7" w:rsidP="00C917F7">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متن تقریر</w:t>
      </w:r>
    </w:p>
    <w:p w14:paraId="4600B76F" w14:textId="77777777" w:rsidR="00C917F7" w:rsidRDefault="00C917F7" w:rsidP="00C917F7">
      <w:pPr>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w:t>
      </w:r>
    </w:p>
    <w:p w14:paraId="2489FD4F" w14:textId="3DD450A3" w:rsidR="00C917F7" w:rsidRDefault="00C917F7" w:rsidP="00C917F7">
      <w:pPr>
        <w:rPr>
          <w:rFonts w:cs="IRMitra"/>
          <w:b/>
          <w:bCs/>
          <w:color w:val="C00000"/>
        </w:rPr>
      </w:pPr>
      <w:r>
        <w:rPr>
          <w:rFonts w:cs="IRMitra"/>
          <w:b/>
          <w:bCs/>
          <w:color w:val="C00000"/>
          <w:rtl/>
        </w:rPr>
        <w:t xml:space="preserve">جلسۀ </w:t>
      </w:r>
      <w:r>
        <w:rPr>
          <w:rFonts w:cs="IRMitra" w:hint="cs"/>
          <w:b/>
          <w:bCs/>
          <w:color w:val="C00000"/>
          <w:rtl/>
        </w:rPr>
        <w:t>58</w:t>
      </w:r>
      <w:r>
        <w:rPr>
          <w:rFonts w:cs="IRMitra"/>
          <w:b/>
          <w:bCs/>
          <w:color w:val="C00000"/>
          <w:rtl/>
        </w:rPr>
        <w:t>-</w:t>
      </w:r>
      <w:r>
        <w:rPr>
          <w:rFonts w:cs="IRMitra"/>
          <w:b/>
          <w:bCs/>
          <w:color w:val="C00000"/>
        </w:rPr>
        <w:t>117</w:t>
      </w:r>
      <w:r>
        <w:rPr>
          <w:rFonts w:cs="IRMitra"/>
          <w:b/>
          <w:bCs/>
          <w:color w:val="C00000"/>
        </w:rPr>
        <w:t>5</w:t>
      </w:r>
      <w:bookmarkStart w:id="0" w:name="_GoBack"/>
      <w:bookmarkEnd w:id="0"/>
    </w:p>
    <w:p w14:paraId="5CC78D53" w14:textId="5BEBCCF5" w:rsidR="00C917F7" w:rsidRDefault="00C917F7" w:rsidP="00C917F7">
      <w:pPr>
        <w:autoSpaceDE w:val="0"/>
        <w:autoSpaceDN w:val="0"/>
        <w:adjustRightInd w:val="0"/>
        <w:spacing w:after="0" w:line="240" w:lineRule="auto"/>
        <w:rPr>
          <w:rFonts w:cs="IRMitra"/>
          <w:b/>
          <w:bCs/>
          <w:color w:val="C00000"/>
          <w:kern w:val="0"/>
          <w:shd w:val="clear" w:color="auto" w:fill="FFFFFF"/>
          <w:rtl/>
          <w:lang w:val="x-none"/>
          <w14:ligatures w14:val="none"/>
        </w:rPr>
      </w:pPr>
      <w:r>
        <w:rPr>
          <w:rFonts w:cs="IRMitra"/>
          <w:b/>
          <w:bCs/>
          <w:color w:val="C00000"/>
          <w:kern w:val="0"/>
          <w:shd w:val="clear" w:color="auto" w:fill="FFFFFF"/>
          <w:lang w:val="x-none"/>
          <w14:ligatures w14:val="none"/>
        </w:rPr>
        <w:t>‌</w:t>
      </w:r>
      <w:r>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15</w:t>
      </w:r>
      <w:r>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09</w:t>
      </w:r>
      <w:r>
        <w:rPr>
          <w:rFonts w:cs="IRMitra"/>
          <w:b/>
          <w:bCs/>
          <w:color w:val="C00000"/>
          <w:kern w:val="0"/>
          <w:shd w:val="clear" w:color="auto" w:fill="FFFFFF"/>
          <w:rtl/>
          <w:lang w:val="x-none"/>
          <w14:ligatures w14:val="none"/>
        </w:rPr>
        <w:t>/1404</w:t>
      </w:r>
    </w:p>
    <w:p w14:paraId="6E8589E2" w14:textId="77777777" w:rsidR="00C917F7" w:rsidRDefault="00C917F7" w:rsidP="00C917F7">
      <w:pPr>
        <w:rPr>
          <w:rFonts w:cs="IRMitra"/>
          <w:color w:val="00B050"/>
          <w:rtl/>
        </w:rPr>
      </w:pPr>
      <w:r>
        <w:rPr>
          <w:rFonts w:cs="IRMitra"/>
          <w:color w:val="00B050"/>
          <w:kern w:val="0"/>
          <w:rtl/>
          <w:lang w:val="x-none"/>
          <w14:ligatures w14:val="none"/>
        </w:rPr>
        <w:t xml:space="preserve">أعوذ باللّه من الشیطان الرجیم بسم </w:t>
      </w:r>
      <w:r>
        <w:rPr>
          <w:rFonts w:cs="IRMitra"/>
          <w:color w:val="00B050"/>
          <w:kern w:val="0"/>
          <w:lang w:val="x-none"/>
          <w14:ligatures w14:val="none"/>
        </w:rPr>
        <w:t>‌</w:t>
      </w:r>
      <w:r>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44C468FD" w14:textId="7C67BBAC" w:rsidR="00D06295" w:rsidRDefault="00D06295" w:rsidP="00EC5BD8">
      <w:pPr>
        <w:jc w:val="center"/>
        <w:rPr>
          <w:rtl/>
          <w:lang w:bidi="ar"/>
        </w:rPr>
      </w:pPr>
    </w:p>
    <w:p w14:paraId="647567B4" w14:textId="77777777" w:rsidR="00B7258C" w:rsidRDefault="00B7258C" w:rsidP="00B7258C">
      <w:pPr>
        <w:pStyle w:val="Heading1"/>
        <w:rPr>
          <w:rtl/>
        </w:rPr>
      </w:pPr>
      <w:bookmarkStart w:id="1" w:name="_Toc218322813"/>
      <w:r>
        <w:rPr>
          <w:rFonts w:hint="cs"/>
          <w:rtl/>
        </w:rPr>
        <w:t>ادامه مساله 36</w:t>
      </w:r>
      <w:bookmarkEnd w:id="1"/>
    </w:p>
    <w:p w14:paraId="071847AD" w14:textId="77777777" w:rsidR="00B7258C" w:rsidRPr="00AA3DE1" w:rsidRDefault="00B7258C" w:rsidP="00B7258C">
      <w:pPr>
        <w:rPr>
          <w:color w:val="0000FF"/>
          <w:rtl/>
        </w:rPr>
      </w:pPr>
      <w:r w:rsidRPr="00AA3DE1">
        <w:rPr>
          <w:color w:val="0000FF"/>
          <w:rtl/>
        </w:rPr>
        <w:t>(مسألة 36): يجب على الوليّ‌ منع الأطفال عن كلّ‌ ما فيه ضرر عليهم أو على غيرهم من الناس، وعن كلّ‌ ما علم من الشرع إرادة عدم وجوده في الخارج، لما فيه من الفساد كالزنا واللواط والغيبة، بل والغناء على الظاهر، وكذا عن أكل الأعيان</w:t>
      </w:r>
      <w:r w:rsidRPr="00AA3DE1">
        <w:rPr>
          <w:rFonts w:hint="cs"/>
          <w:color w:val="0000FF"/>
          <w:rtl/>
        </w:rPr>
        <w:t xml:space="preserve"> </w:t>
      </w:r>
      <w:r w:rsidRPr="00AA3DE1">
        <w:rPr>
          <w:color w:val="0000FF"/>
          <w:rtl/>
        </w:rPr>
        <w:t>النجسة وشربها ممّا فيه ضرر عليهم، وأمّا المتنجّسة فلا يجب منعهم عنها، بل حرمة مناولتها لهم غير معلومة، وأمّا لبس</w:t>
      </w:r>
      <w:r w:rsidRPr="00AA3DE1">
        <w:rPr>
          <w:rFonts w:hint="cs"/>
          <w:color w:val="0000FF"/>
          <w:rtl/>
        </w:rPr>
        <w:t xml:space="preserve"> </w:t>
      </w:r>
      <w:r w:rsidRPr="00AA3DE1">
        <w:rPr>
          <w:color w:val="0000FF"/>
          <w:rtl/>
        </w:rPr>
        <w:t>الحرير والذهب ونحوهما ممّا يحرم على البالغين فالأقوى عدم وجوب منع المميّزين منها فضلاً عن غيرهم، بل لا بأس بإلباسهم إيّاها، وإن كان الأولى تركه، بل منعهم عن لبسها</w:t>
      </w:r>
      <w:r w:rsidRPr="00AA3DE1">
        <w:rPr>
          <w:rStyle w:val="FootnoteReference"/>
          <w:color w:val="0000FF"/>
          <w:rtl/>
        </w:rPr>
        <w:footnoteReference w:id="2"/>
      </w:r>
      <w:r w:rsidRPr="00AA3DE1">
        <w:rPr>
          <w:color w:val="0000FF"/>
          <w:rtl/>
        </w:rPr>
        <w:t>.</w:t>
      </w:r>
      <w:r w:rsidRPr="00AA3DE1">
        <w:rPr>
          <w:rFonts w:hint="cs"/>
          <w:color w:val="0000FF"/>
          <w:rtl/>
        </w:rPr>
        <w:t xml:space="preserve"> </w:t>
      </w:r>
    </w:p>
    <w:p w14:paraId="49825ECF" w14:textId="4D576A07" w:rsidR="00B7258C" w:rsidRDefault="00B7258C" w:rsidP="00B7258C">
      <w:pPr>
        <w:rPr>
          <w:rtl/>
        </w:rPr>
      </w:pPr>
      <w:r>
        <w:rPr>
          <w:rFonts w:hint="cs"/>
          <w:rtl/>
        </w:rPr>
        <w:t>نسبت به اطفال وظایفی به عهده مکلفین قرار داده شده است.</w:t>
      </w:r>
    </w:p>
    <w:p w14:paraId="2D8B5EA5" w14:textId="77777777" w:rsidR="00077C83" w:rsidRDefault="00077C83" w:rsidP="00B7258C">
      <w:pPr>
        <w:rPr>
          <w:rtl/>
        </w:rPr>
      </w:pPr>
    </w:p>
    <w:p w14:paraId="297C166C" w14:textId="077E9639" w:rsidR="00B7258C" w:rsidRDefault="00077C83" w:rsidP="00B7258C">
      <w:pPr>
        <w:pStyle w:val="Heading2"/>
        <w:rPr>
          <w:rtl/>
        </w:rPr>
      </w:pPr>
      <w:bookmarkStart w:id="2" w:name="_Toc218322814"/>
      <w:r>
        <w:rPr>
          <w:rFonts w:hint="cs"/>
          <w:rtl/>
        </w:rPr>
        <w:t xml:space="preserve">الف. </w:t>
      </w:r>
      <w:r w:rsidR="00B7258C">
        <w:rPr>
          <w:rFonts w:hint="cs"/>
          <w:rtl/>
        </w:rPr>
        <w:t>حرمت اضرار به اطفال</w:t>
      </w:r>
      <w:bookmarkEnd w:id="2"/>
    </w:p>
    <w:p w14:paraId="1875044E" w14:textId="77777777" w:rsidR="00B7258C" w:rsidRDefault="00B7258C" w:rsidP="00B7258C">
      <w:pPr>
        <w:rPr>
          <w:rtl/>
        </w:rPr>
      </w:pPr>
      <w:r>
        <w:rPr>
          <w:rFonts w:hint="cs"/>
          <w:rtl/>
        </w:rPr>
        <w:t xml:space="preserve">اضرار به مؤمن حرام است به همین دلیل ولیّ و غیر ولیّ در رابطه با اطفال نباید کاری انجام دهند که موجب ضرر مادی یا معنوی و دینی به آنها شود. </w:t>
      </w:r>
    </w:p>
    <w:p w14:paraId="5C32DA5C" w14:textId="0082E3BA" w:rsidR="00B7258C" w:rsidRDefault="00077C83" w:rsidP="00B7258C">
      <w:pPr>
        <w:pStyle w:val="Heading2"/>
        <w:rPr>
          <w:rtl/>
        </w:rPr>
      </w:pPr>
      <w:bookmarkStart w:id="3" w:name="_Toc218322815"/>
      <w:r>
        <w:rPr>
          <w:rFonts w:hint="cs"/>
          <w:rtl/>
        </w:rPr>
        <w:t xml:space="preserve">ب. </w:t>
      </w:r>
      <w:r w:rsidR="00B7258C">
        <w:rPr>
          <w:rFonts w:hint="cs"/>
          <w:rtl/>
        </w:rPr>
        <w:t>وظیفه ولیّ در مورد ضرر رساندن طفل به خود</w:t>
      </w:r>
      <w:bookmarkEnd w:id="3"/>
    </w:p>
    <w:p w14:paraId="25EFD3D7" w14:textId="77777777" w:rsidR="00B7258C" w:rsidRDefault="00B7258C" w:rsidP="00B7258C">
      <w:pPr>
        <w:rPr>
          <w:rtl/>
        </w:rPr>
      </w:pPr>
      <w:r>
        <w:rPr>
          <w:rFonts w:hint="cs"/>
          <w:rtl/>
        </w:rPr>
        <w:t xml:space="preserve">اگر طفل به خودش ضرر مادی یا معنوی بزند، ولیّ طفل به مقتضای ولایتی که بر او دارد، باید از این ضررها جلو گیری کند. آقای خویی نیز به این مطلب تصریح می کنند: </w:t>
      </w:r>
      <w:r>
        <w:rPr>
          <w:rFonts w:hint="cs"/>
          <w:rtl/>
        </w:rPr>
        <w:lastRenderedPageBreak/>
        <w:t>«</w:t>
      </w:r>
      <w:r w:rsidRPr="0083712F">
        <w:rPr>
          <w:color w:val="000080"/>
          <w:rtl/>
        </w:rPr>
        <w:t>و أما الردع و الإعلام فأيضاً لا كلام في وجوبهما على الولي، لأنه مأمور بالتحفظ على الصبي مما يرجع إلى نفسه و ماله</w:t>
      </w:r>
      <w:r>
        <w:rPr>
          <w:rFonts w:hint="cs"/>
          <w:rtl/>
        </w:rPr>
        <w:t>»</w:t>
      </w:r>
      <w:r>
        <w:rPr>
          <w:rStyle w:val="FootnoteReference"/>
          <w:rtl/>
        </w:rPr>
        <w:footnoteReference w:id="3"/>
      </w:r>
      <w:r>
        <w:rPr>
          <w:rFonts w:hint="cs"/>
          <w:rtl/>
        </w:rPr>
        <w:t xml:space="preserve"> و مقتضای صناعت هم همین مطلب است زیرا مقتضای جعل ولایت برای ولیّ حفظ مولیّ‌علیه از اضرار دنیوی و اضرار دینی و معنوی است. اما در ما نحن فیه که صاحب عروه فرموده: «</w:t>
      </w:r>
      <w:r w:rsidRPr="00AA3DE1">
        <w:rPr>
          <w:color w:val="0000FF"/>
          <w:rtl/>
        </w:rPr>
        <w:t>يجب على الوليّ‌ منع الأطفال عن كلّ‌ ما فيه ضرر عليهم</w:t>
      </w:r>
      <w:r>
        <w:rPr>
          <w:rFonts w:hint="cs"/>
          <w:rtl/>
        </w:rPr>
        <w:t>»، آقای خویی حاشیه زده اند: «</w:t>
      </w:r>
      <w:r w:rsidRPr="00A45C93">
        <w:rPr>
          <w:color w:val="000080"/>
          <w:rtl/>
        </w:rPr>
        <w:t>في إطلاقه إشكال، بل منع</w:t>
      </w:r>
      <w:r>
        <w:rPr>
          <w:rFonts w:hint="cs"/>
          <w:rtl/>
        </w:rPr>
        <w:t>»</w:t>
      </w:r>
      <w:r w:rsidRPr="00AA3DE1">
        <w:rPr>
          <w:rStyle w:val="FootnoteReference"/>
          <w:rtl/>
        </w:rPr>
        <w:footnoteReference w:id="4"/>
      </w:r>
      <w:r>
        <w:rPr>
          <w:rFonts w:hint="cs"/>
          <w:rtl/>
        </w:rPr>
        <w:t xml:space="preserve"> و در بحث استدلالی نیز متعرض این بحث نشده اند. </w:t>
      </w:r>
    </w:p>
    <w:p w14:paraId="7C9E9F77" w14:textId="77777777" w:rsidR="00B7258C" w:rsidRDefault="00B7258C" w:rsidP="00B7258C">
      <w:pPr>
        <w:rPr>
          <w:rtl/>
        </w:rPr>
      </w:pPr>
      <w:r>
        <w:rPr>
          <w:rFonts w:hint="cs"/>
          <w:rtl/>
        </w:rPr>
        <w:t>مثلا اگر طفلی که نزدیک بلوغ است را برای نماز صبح بیدار نکند، سبب کاهل نماز شدن او می شود و این ضرر دینی و معنوی است بنابراین باید او را بیدار کند.</w:t>
      </w:r>
    </w:p>
    <w:p w14:paraId="6C58998E" w14:textId="77777777" w:rsidR="00B7258C" w:rsidRDefault="00B7258C" w:rsidP="00B7258C">
      <w:pPr>
        <w:rPr>
          <w:rtl/>
        </w:rPr>
      </w:pPr>
      <w:r>
        <w:rPr>
          <w:rFonts w:hint="cs"/>
          <w:rtl/>
        </w:rPr>
        <w:t>در ضررهای مادی نیز کسر و انکسار می شود. گاهی عرفاً ضرر نیست مثلا کسی که می خواهد به مسافرت برود، ممکن است که تصادف مختصری کند یا ماشین او پنجر شود، اما این موارد ضرر به قول مطلق نیست مانند اینکه طفل برای یاد گرفتن مکانیکی ممکن است که دستش را هم ببرد و اگر آن قدر از او مواظبت شود که حتی دستش را نبرد، در کاری مهارت پیدا نمی کند. بحث در جایی است که ضرر به قول مطلق باشد مانند اینکه با طفل دیگری در حال درگیری است و ممکن است که به او آسیب زیادی بزند، در اینجا باید مانع شد.</w:t>
      </w:r>
    </w:p>
    <w:p w14:paraId="1E07CA35" w14:textId="77777777" w:rsidR="00B7258C" w:rsidRDefault="00B7258C" w:rsidP="00B7258C">
      <w:pPr>
        <w:rPr>
          <w:rtl/>
        </w:rPr>
      </w:pPr>
      <w:r>
        <w:rPr>
          <w:rFonts w:hint="cs"/>
          <w:rtl/>
        </w:rPr>
        <w:t>برخی موارد مانند بیدار کردن طفل برای نماز و تربیت دینی با اینکه ممکن است ایذاء طفل باشد اما قطعا جایز است و در گذشته حتی «ضرب بر نماز» هم مطرح بوده است</w:t>
      </w:r>
      <w:r>
        <w:rPr>
          <w:rStyle w:val="FootnoteReference"/>
          <w:rtl/>
        </w:rPr>
        <w:footnoteReference w:id="5"/>
      </w:r>
      <w:r>
        <w:rPr>
          <w:rFonts w:hint="cs"/>
          <w:rtl/>
        </w:rPr>
        <w:t xml:space="preserve"> البته این موارد تابع مصلحت و نحوه تربیت است و امروزه ممکن است تأثیر منفی داشته باشد.</w:t>
      </w:r>
    </w:p>
    <w:p w14:paraId="2BE52334" w14:textId="69F5397B" w:rsidR="00B7258C" w:rsidRDefault="00077C83" w:rsidP="00B7258C">
      <w:pPr>
        <w:pStyle w:val="Heading2"/>
      </w:pPr>
      <w:bookmarkStart w:id="4" w:name="_Toc218322816"/>
      <w:r>
        <w:rPr>
          <w:rFonts w:hint="cs"/>
          <w:rtl/>
        </w:rPr>
        <w:t xml:space="preserve">ج. </w:t>
      </w:r>
      <w:r w:rsidR="00B7258C">
        <w:rPr>
          <w:rFonts w:hint="cs"/>
          <w:rtl/>
        </w:rPr>
        <w:t>موارد لزوم ممانعت از طفل</w:t>
      </w:r>
      <w:bookmarkEnd w:id="4"/>
      <w:r w:rsidR="00B7258C">
        <w:rPr>
          <w:rFonts w:hint="cs"/>
          <w:rtl/>
        </w:rPr>
        <w:t xml:space="preserve"> </w:t>
      </w:r>
    </w:p>
    <w:p w14:paraId="10845477" w14:textId="77777777" w:rsidR="00B7258C" w:rsidRDefault="00B7258C" w:rsidP="00B7258C">
      <w:pPr>
        <w:rPr>
          <w:rtl/>
        </w:rPr>
      </w:pPr>
      <w:r>
        <w:rPr>
          <w:rFonts w:hint="cs"/>
          <w:rtl/>
        </w:rPr>
        <w:t>برخی از امور هستند که از مذاق شارع پی برده ایم که راضی به وقوع آن فعل در خارج نیست ولو از غیر مکلف صادر شود. در اینجا حتی اگر طفل مرتکب این امور شود، ولیّ یا غیر ولیّ باید مانع او شوند. مثلا اگر طفلی یا حتی حیوانی بخواهد مرتکب قتل مومنی شود باید مانع او شد یا اگر طفل بخواهد محرم شنیعی مانند لواط، زنا یا شرب خمر را انجام دهد</w:t>
      </w:r>
    </w:p>
    <w:p w14:paraId="3FA91326" w14:textId="44AAE6C5" w:rsidR="00B7258C" w:rsidRDefault="00B7258C" w:rsidP="00B7258C">
      <w:pPr>
        <w:rPr>
          <w:rtl/>
        </w:rPr>
      </w:pPr>
      <w:r>
        <w:rPr>
          <w:rFonts w:hint="cs"/>
          <w:rtl/>
        </w:rPr>
        <w:lastRenderedPageBreak/>
        <w:t>در مورد برخی از مثال ها مناقشه شده است. صاحب عروه مثال به غیبت و غنا زده اند. آقای خویی در مورد غنا در فتوا احتیاط کرده اند</w:t>
      </w:r>
      <w:r>
        <w:rPr>
          <w:rStyle w:val="FootnoteReference"/>
          <w:rtl/>
        </w:rPr>
        <w:footnoteReference w:id="6"/>
      </w:r>
      <w:r>
        <w:rPr>
          <w:rFonts w:hint="cs"/>
          <w:rtl/>
        </w:rPr>
        <w:t xml:space="preserve"> و در بحث استدلالی به درستی فرموده اند که دلیلی ندارد</w:t>
      </w:r>
      <w:r>
        <w:rPr>
          <w:rStyle w:val="FootnoteReference"/>
          <w:rtl/>
        </w:rPr>
        <w:footnoteReference w:id="7"/>
      </w:r>
      <w:r>
        <w:rPr>
          <w:rFonts w:hint="cs"/>
          <w:rtl/>
        </w:rPr>
        <w:t xml:space="preserve">  و نمی توان گفت که غنا از افعالی است که از مذاق شارع فهمیده ایم که راضی به وقوع آن در خارج</w:t>
      </w:r>
      <w:r w:rsidR="00077C83">
        <w:rPr>
          <w:rFonts w:hint="cs"/>
          <w:rtl/>
        </w:rPr>
        <w:t xml:space="preserve"> حتی از صبی</w:t>
      </w:r>
      <w:r>
        <w:rPr>
          <w:rFonts w:hint="cs"/>
          <w:rtl/>
        </w:rPr>
        <w:t xml:space="preserve"> نیست. البته اگر مثلا ولیّ ببیند غنا به صورتی است که خوف بر تربیت دینی کودک می رود در اینجا باید مانع شود</w:t>
      </w:r>
      <w:r w:rsidR="00077C83">
        <w:rPr>
          <w:rFonts w:hint="cs"/>
          <w:rtl/>
        </w:rPr>
        <w:t>.</w:t>
      </w:r>
    </w:p>
    <w:p w14:paraId="5450824E" w14:textId="6B63FA24" w:rsidR="00B7258C" w:rsidRDefault="00B7258C" w:rsidP="00B7258C">
      <w:pPr>
        <w:rPr>
          <w:rtl/>
        </w:rPr>
      </w:pPr>
      <w:r>
        <w:rPr>
          <w:rFonts w:hint="cs"/>
          <w:rtl/>
        </w:rPr>
        <w:t>آقای سیستانی نیز در مورد غنا و غیبت اشکال کرده و مثال به نمامی زده اند</w:t>
      </w:r>
      <w:r>
        <w:rPr>
          <w:rStyle w:val="FootnoteReference"/>
          <w:rtl/>
        </w:rPr>
        <w:footnoteReference w:id="8"/>
      </w:r>
      <w:r>
        <w:rPr>
          <w:rFonts w:hint="cs"/>
          <w:rtl/>
        </w:rPr>
        <w:t>. اما نمامی مراتبی دارد گاهی نمامی موجب جنگ بین دو طائفه و قتل می شود که باید مانع شد</w:t>
      </w:r>
      <w:r w:rsidR="00077C83">
        <w:rPr>
          <w:rFonts w:hint="cs"/>
          <w:rtl/>
        </w:rPr>
        <w:t>.</w:t>
      </w:r>
      <w:r>
        <w:rPr>
          <w:rFonts w:hint="cs"/>
          <w:rtl/>
        </w:rPr>
        <w:t xml:space="preserve"> اما در برخی مراتب ضعیف نمامی، واضح نیست که مانع شدن واجب باشد.</w:t>
      </w:r>
    </w:p>
    <w:p w14:paraId="2FA3BA96" w14:textId="77777777" w:rsidR="00B7258C" w:rsidRDefault="00B7258C" w:rsidP="00B7258C">
      <w:pPr>
        <w:pStyle w:val="Heading3"/>
        <w:rPr>
          <w:rtl/>
        </w:rPr>
      </w:pPr>
      <w:bookmarkStart w:id="5" w:name="_Toc218322817"/>
      <w:r>
        <w:rPr>
          <w:rFonts w:hint="cs"/>
          <w:rtl/>
        </w:rPr>
        <w:t>لزوم حفظ نفس محترمه</w:t>
      </w:r>
      <w:bookmarkEnd w:id="5"/>
    </w:p>
    <w:p w14:paraId="3739D493" w14:textId="7683C11D" w:rsidR="00B7258C" w:rsidRDefault="00B7258C" w:rsidP="00B7258C">
      <w:pPr>
        <w:rPr>
          <w:rtl/>
        </w:rPr>
      </w:pPr>
      <w:r>
        <w:rPr>
          <w:rFonts w:hint="cs"/>
          <w:rtl/>
        </w:rPr>
        <w:t xml:space="preserve">در مورد حفظ نفس تذکر این نکته لازم است که از مذاق شارع فهمیده می شود که مراتبی از حفظ نفس قطعا واجب است. مثلا کسی نان و آب به اندازه کافی در اختیار دارد و شخصی را می بیند که از گرسنگی یا تشنگی در حال جان دادن است، این مقدار وجوب حفظ نفس از مذاق شارع کشف شده است ولو دلیل لفظی نداشته باشیم. اما مراتب عالیه سرمایه گذاری و هزینه برای حفظ نفس دیگران محل بحث است. برخی مراتب از حفظ نفس هم قطعا واجب نیست مثلا انسان کلیه خود را به شخص دیگری بدهد که جان او حفظ شود یا خانه اش را </w:t>
      </w:r>
      <w:r w:rsidR="00077C83">
        <w:rPr>
          <w:rFonts w:hint="cs"/>
          <w:rtl/>
        </w:rPr>
        <w:t>ب</w:t>
      </w:r>
      <w:r>
        <w:rPr>
          <w:rFonts w:hint="cs"/>
          <w:rtl/>
        </w:rPr>
        <w:t xml:space="preserve">فروشد که یک بیمار سرطانی را درمان کند </w:t>
      </w:r>
      <w:r w:rsidR="00077C83">
        <w:rPr>
          <w:rFonts w:hint="cs"/>
          <w:rtl/>
        </w:rPr>
        <w:t>تا</w:t>
      </w:r>
      <w:r>
        <w:rPr>
          <w:rFonts w:hint="cs"/>
          <w:rtl/>
        </w:rPr>
        <w:t xml:space="preserve"> زنده بماند.</w:t>
      </w:r>
    </w:p>
    <w:p w14:paraId="409CDB34" w14:textId="73057BBC" w:rsidR="00B7258C" w:rsidRDefault="00B7258C" w:rsidP="00B7258C">
      <w:pPr>
        <w:rPr>
          <w:rtl/>
        </w:rPr>
      </w:pPr>
      <w:r>
        <w:rPr>
          <w:rFonts w:hint="cs"/>
          <w:rtl/>
        </w:rPr>
        <w:t>آقای تبریزی برای حفظ نفس محترمه به این روایت استدلال می کردند: «</w:t>
      </w:r>
      <w:r w:rsidRPr="00C03CC3">
        <w:rPr>
          <w:color w:val="008000"/>
          <w:rtl/>
        </w:rPr>
        <w:t>مُحَمَّدُ بْنُ الْحَسَنِ بِإِسْنَادِهِ عَنْ أَحْمَدَ بْنِ مُحَمَّدٍ عَنِ النَّوْفَلِيِّ عَنِ السَّكُونِيِّ عَنْ جَعْفَرٍ عَنْ أَبِيهِ عَنْ آبَائِهِ قَالَ: قَالَ رَسُولُ اللَّهِ ص مَنْ سَمِعَ رَجُلًا يُنَادِي يَا لَلْمُسْلِمِينَ فَلَمْ يُجِبْهُ فَلَيْسَ بِمُسْلِمٍ</w:t>
      </w:r>
      <w:r>
        <w:rPr>
          <w:rFonts w:hint="cs"/>
          <w:rtl/>
        </w:rPr>
        <w:t>»</w:t>
      </w:r>
      <w:r>
        <w:rPr>
          <w:rStyle w:val="FootnoteReference"/>
          <w:rtl/>
        </w:rPr>
        <w:footnoteReference w:id="9"/>
      </w:r>
      <w:r>
        <w:rPr>
          <w:rFonts w:hint="cs"/>
          <w:rtl/>
        </w:rPr>
        <w:t xml:space="preserve">. ما به ایشان اشکال می کردیم که مثلا در </w:t>
      </w:r>
      <w:r w:rsidRPr="00197C09">
        <w:rPr>
          <w:rtl/>
        </w:rPr>
        <w:t>«</w:t>
      </w:r>
      <w:r w:rsidRPr="00197C09">
        <w:rPr>
          <w:rFonts w:hint="cs"/>
          <w:rtl/>
        </w:rPr>
        <w:t>ی</w:t>
      </w:r>
      <w:r w:rsidRPr="00197C09">
        <w:rPr>
          <w:rFonts w:hint="eastAsia"/>
          <w:rtl/>
        </w:rPr>
        <w:t>ا</w:t>
      </w:r>
      <w:r w:rsidRPr="00197C09">
        <w:rPr>
          <w:rtl/>
        </w:rPr>
        <w:t xml:space="preserve"> للمسلم</w:t>
      </w:r>
      <w:r w:rsidRPr="00197C09">
        <w:rPr>
          <w:rFonts w:hint="cs"/>
          <w:rtl/>
        </w:rPr>
        <w:t>ی</w:t>
      </w:r>
      <w:r w:rsidRPr="00197C09">
        <w:rPr>
          <w:rFonts w:hint="eastAsia"/>
          <w:rtl/>
        </w:rPr>
        <w:t>ن</w:t>
      </w:r>
      <w:r w:rsidRPr="00197C09">
        <w:rPr>
          <w:rtl/>
        </w:rPr>
        <w:t xml:space="preserve"> زوج</w:t>
      </w:r>
      <w:r>
        <w:rPr>
          <w:rFonts w:hint="cs"/>
          <w:rtl/>
        </w:rPr>
        <w:t>و</w:t>
      </w:r>
      <w:r w:rsidRPr="00197C09">
        <w:rPr>
          <w:rtl/>
        </w:rPr>
        <w:t>ن</w:t>
      </w:r>
      <w:r w:rsidRPr="00197C09">
        <w:rPr>
          <w:rFonts w:hint="cs"/>
          <w:rtl/>
        </w:rPr>
        <w:t>ی</w:t>
      </w:r>
      <w:r w:rsidRPr="00197C09">
        <w:rPr>
          <w:rtl/>
        </w:rPr>
        <w:t>»</w:t>
      </w:r>
      <w:r>
        <w:rPr>
          <w:rFonts w:hint="cs"/>
          <w:rtl/>
        </w:rPr>
        <w:t xml:space="preserve"> یا </w:t>
      </w:r>
      <w:r w:rsidRPr="00197C09">
        <w:rPr>
          <w:rtl/>
        </w:rPr>
        <w:t>«</w:t>
      </w:r>
      <w:r w:rsidRPr="00197C09">
        <w:rPr>
          <w:rFonts w:hint="cs"/>
          <w:rtl/>
        </w:rPr>
        <w:t>ی</w:t>
      </w:r>
      <w:r w:rsidRPr="00197C09">
        <w:rPr>
          <w:rFonts w:hint="eastAsia"/>
          <w:rtl/>
        </w:rPr>
        <w:t>ا</w:t>
      </w:r>
      <w:r w:rsidRPr="00197C09">
        <w:rPr>
          <w:rtl/>
        </w:rPr>
        <w:t xml:space="preserve"> للمسلم</w:t>
      </w:r>
      <w:r w:rsidRPr="00197C09">
        <w:rPr>
          <w:rFonts w:hint="cs"/>
          <w:rtl/>
        </w:rPr>
        <w:t>ی</w:t>
      </w:r>
      <w:r w:rsidRPr="00197C09">
        <w:rPr>
          <w:rFonts w:hint="eastAsia"/>
          <w:rtl/>
        </w:rPr>
        <w:t>ن،</w:t>
      </w:r>
      <w:r w:rsidRPr="00197C09">
        <w:rPr>
          <w:rtl/>
        </w:rPr>
        <w:t xml:space="preserve"> خلصون</w:t>
      </w:r>
      <w:r w:rsidRPr="00197C09">
        <w:rPr>
          <w:rFonts w:hint="cs"/>
          <w:rtl/>
        </w:rPr>
        <w:t>ی</w:t>
      </w:r>
      <w:r w:rsidRPr="00197C09">
        <w:rPr>
          <w:rtl/>
        </w:rPr>
        <w:t xml:space="preserve"> من هذا الزوج الشق</w:t>
      </w:r>
      <w:r w:rsidRPr="00197C09">
        <w:rPr>
          <w:rFonts w:hint="cs"/>
          <w:rtl/>
        </w:rPr>
        <w:t>ی</w:t>
      </w:r>
      <w:r w:rsidRPr="00197C09">
        <w:rPr>
          <w:rtl/>
        </w:rPr>
        <w:t xml:space="preserve"> </w:t>
      </w:r>
      <w:r w:rsidR="00077C83">
        <w:rPr>
          <w:rFonts w:hint="cs"/>
          <w:rtl/>
        </w:rPr>
        <w:t xml:space="preserve">الذی </w:t>
      </w:r>
      <w:r w:rsidRPr="00197C09">
        <w:rPr>
          <w:rFonts w:hint="cs"/>
          <w:rtl/>
        </w:rPr>
        <w:t>ی</w:t>
      </w:r>
      <w:r w:rsidRPr="00197C09">
        <w:rPr>
          <w:rFonts w:hint="eastAsia"/>
          <w:rtl/>
        </w:rPr>
        <w:t>ضربن</w:t>
      </w:r>
      <w:r w:rsidRPr="00197C09">
        <w:rPr>
          <w:rFonts w:hint="cs"/>
          <w:rtl/>
        </w:rPr>
        <w:t>ی</w:t>
      </w:r>
      <w:r w:rsidRPr="00197C09">
        <w:rPr>
          <w:rFonts w:hint="eastAsia"/>
          <w:rtl/>
        </w:rPr>
        <w:t>»</w:t>
      </w:r>
      <w:r>
        <w:rPr>
          <w:rFonts w:hint="cs"/>
          <w:rtl/>
        </w:rPr>
        <w:t xml:space="preserve"> </w:t>
      </w:r>
      <w:r w:rsidR="00077C83">
        <w:rPr>
          <w:rFonts w:hint="cs"/>
          <w:rtl/>
        </w:rPr>
        <w:t>روشن نیست</w:t>
      </w:r>
      <w:r>
        <w:rPr>
          <w:rFonts w:hint="cs"/>
          <w:rtl/>
        </w:rPr>
        <w:t xml:space="preserve"> که </w:t>
      </w:r>
      <w:r w:rsidR="00077C83">
        <w:rPr>
          <w:rFonts w:hint="cs"/>
          <w:rtl/>
        </w:rPr>
        <w:t xml:space="preserve">این امور </w:t>
      </w:r>
      <w:r>
        <w:rPr>
          <w:rFonts w:hint="cs"/>
          <w:rtl/>
        </w:rPr>
        <w:t xml:space="preserve">بر دیگران واجب باشد بلکه </w:t>
      </w:r>
      <w:r w:rsidR="00077C83">
        <w:rPr>
          <w:rFonts w:hint="cs"/>
          <w:rtl/>
        </w:rPr>
        <w:t>صرفا</w:t>
      </w:r>
      <w:r>
        <w:rPr>
          <w:rFonts w:hint="cs"/>
          <w:rtl/>
        </w:rPr>
        <w:t xml:space="preserve"> یک حکم اخلاقی بیان شده است.</w:t>
      </w:r>
      <w:r w:rsidRPr="00560888">
        <w:rPr>
          <w:rtl/>
        </w:rPr>
        <w:t xml:space="preserve"> </w:t>
      </w:r>
    </w:p>
    <w:p w14:paraId="5C921E86" w14:textId="2E71927E" w:rsidR="00B7258C" w:rsidRDefault="00077C83" w:rsidP="00B7258C">
      <w:pPr>
        <w:pStyle w:val="Heading2"/>
        <w:rPr>
          <w:rtl/>
        </w:rPr>
      </w:pPr>
      <w:bookmarkStart w:id="6" w:name="_Toc218322818"/>
      <w:r>
        <w:rPr>
          <w:rFonts w:hint="cs"/>
          <w:rtl/>
        </w:rPr>
        <w:t xml:space="preserve">د. </w:t>
      </w:r>
      <w:r w:rsidR="00B7258C">
        <w:rPr>
          <w:rFonts w:hint="cs"/>
          <w:rtl/>
        </w:rPr>
        <w:t>تسبیب به ارتکاب حرام توسط صبی</w:t>
      </w:r>
      <w:bookmarkEnd w:id="6"/>
    </w:p>
    <w:p w14:paraId="6CA9E334" w14:textId="1E3E7933" w:rsidR="00B7258C" w:rsidRPr="009E6216" w:rsidRDefault="00B7258C" w:rsidP="00B7258C">
      <w:pPr>
        <w:rPr>
          <w:rtl/>
        </w:rPr>
      </w:pPr>
      <w:r>
        <w:rPr>
          <w:rFonts w:hint="cs"/>
          <w:rtl/>
        </w:rPr>
        <w:t xml:space="preserve">صاحب عروه تسبیب به ارتکاب حرام توسط صبی را تجویز کرده است. البته در بحث اکل و شرب اعیان نجسه فرموده اند: جایز نیست که گوشت میته یا گوشت خوک به </w:t>
      </w:r>
      <w:r>
        <w:rPr>
          <w:rFonts w:hint="cs"/>
          <w:rtl/>
        </w:rPr>
        <w:lastRenderedPageBreak/>
        <w:t>صبی داده شود تا بخورد اما اگر خودش بخورد لازم نیست که مانع او ش</w:t>
      </w:r>
      <w:r w:rsidR="00077C83">
        <w:rPr>
          <w:rFonts w:hint="cs"/>
          <w:rtl/>
        </w:rPr>
        <w:t>ون</w:t>
      </w:r>
      <w:r>
        <w:rPr>
          <w:rFonts w:hint="cs"/>
          <w:rtl/>
        </w:rPr>
        <w:t>د مگر اینکه برای او ضرر داشته باشد که در اینجا باید ولیّ مانع شود</w:t>
      </w:r>
      <w:r w:rsidR="00077C83">
        <w:rPr>
          <w:rFonts w:hint="cs"/>
          <w:rtl/>
        </w:rPr>
        <w:t>.</w:t>
      </w:r>
      <w:r>
        <w:rPr>
          <w:rStyle w:val="FootnoteReference"/>
          <w:rtl/>
        </w:rPr>
        <w:footnoteReference w:id="10"/>
      </w:r>
      <w:r>
        <w:rPr>
          <w:rFonts w:hint="cs"/>
          <w:rtl/>
        </w:rPr>
        <w:t xml:space="preserve"> </w:t>
      </w:r>
    </w:p>
    <w:p w14:paraId="4C7E2AA4" w14:textId="77777777" w:rsidR="00B7258C" w:rsidRDefault="00B7258C" w:rsidP="00B7258C">
      <w:pPr>
        <w:rPr>
          <w:rtl/>
        </w:rPr>
      </w:pPr>
      <w:r>
        <w:rPr>
          <w:rFonts w:hint="cs"/>
          <w:rtl/>
        </w:rPr>
        <w:t xml:space="preserve">برای ما وجه تفاوت بین تسبیب به خوردن عین نجس با تسبیب به سایر محرمات روشن نیست. </w:t>
      </w:r>
    </w:p>
    <w:p w14:paraId="1F36AD06" w14:textId="1E0694AF" w:rsidR="00B7258C" w:rsidRDefault="00B7258C" w:rsidP="00B7258C">
      <w:pPr>
        <w:rPr>
          <w:rtl/>
        </w:rPr>
      </w:pPr>
      <w:r>
        <w:rPr>
          <w:rFonts w:hint="cs"/>
          <w:rtl/>
        </w:rPr>
        <w:t>آقای خویی نیز فرموده اند: وقتی مولا می گوید «یحرم علی کل مکلف اکل النجس» متفاهم عرفی و مدلول التزامی این است که بر سایر مکلفین حرام است که مکلف دیگری را تسبیب به اکل نجس کنند به همین دلیل در رساله بیان شده که اگر صاحب خانه بداند که غذا نجس شده، حق ندارد که آن غذا را جلو</w:t>
      </w:r>
      <w:r w:rsidR="00077C83">
        <w:rPr>
          <w:rFonts w:hint="cs"/>
          <w:rtl/>
        </w:rPr>
        <w:t>ی</w:t>
      </w:r>
      <w:r>
        <w:rPr>
          <w:rFonts w:hint="cs"/>
          <w:rtl/>
        </w:rPr>
        <w:t xml:space="preserve"> مهمان بگذارد</w:t>
      </w:r>
      <w:r w:rsidR="00077C83">
        <w:rPr>
          <w:rFonts w:hint="cs"/>
          <w:rtl/>
        </w:rPr>
        <w:t>.</w:t>
      </w:r>
      <w:r>
        <w:rPr>
          <w:rStyle w:val="FootnoteReference"/>
          <w:rtl/>
        </w:rPr>
        <w:footnoteReference w:id="11"/>
      </w:r>
      <w:r>
        <w:rPr>
          <w:rFonts w:hint="cs"/>
          <w:rtl/>
        </w:rPr>
        <w:t xml:space="preserve"> اما به مقتضای «رفع القلم» دلیل محرمات تخصیص می خورد و محرمات بر صبی حلال می شود و در نتیجه تسبیب به این امور در مورد صبی، تسبیب به حرام نیست مگر محرماتی که از مذاق شارع کشف شود که راضی به وقوع آن فعل حتی از غیر مکلف نیست. </w:t>
      </w:r>
    </w:p>
    <w:p w14:paraId="0F9871AF" w14:textId="76722120" w:rsidR="00B7258C" w:rsidRDefault="00B7258C" w:rsidP="00B7258C">
      <w:pPr>
        <w:rPr>
          <w:rtl/>
        </w:rPr>
      </w:pPr>
      <w:r>
        <w:rPr>
          <w:rFonts w:hint="cs"/>
          <w:rtl/>
        </w:rPr>
        <w:t xml:space="preserve">به نظر ما صبی غیر ممیز که اصلا قابلیت تکلیف ندارد. اما در مورد صبی ممیز اگر در موردی دلیل خاص داشتیم که عملی بر صبی حرام نیست مانند لبس حریر، در اینجا صبی اصلا مشمول دلیل حرمت نیست. اما رفع حرمت به واسطه «رفع القلم عن الصبی» مبتنی بر این است که مراد، رفع قلم تکلیف باشد، اما اگر رفع قلم مؤاخذه باشد که مقتضای صناعت هم همین است، دروغ گفتن بر صبی ممیز </w:t>
      </w:r>
      <w:r w:rsidR="0003304F">
        <w:rPr>
          <w:rFonts w:hint="cs"/>
          <w:rtl/>
        </w:rPr>
        <w:t xml:space="preserve">هم </w:t>
      </w:r>
      <w:r>
        <w:rPr>
          <w:rFonts w:hint="cs"/>
          <w:rtl/>
        </w:rPr>
        <w:t xml:space="preserve">حرام است اما </w:t>
      </w:r>
      <w:r w:rsidR="0003304F">
        <w:rPr>
          <w:rFonts w:hint="cs"/>
          <w:rtl/>
        </w:rPr>
        <w:t xml:space="preserve">او </w:t>
      </w:r>
      <w:r>
        <w:rPr>
          <w:rFonts w:hint="cs"/>
          <w:rtl/>
        </w:rPr>
        <w:t xml:space="preserve">بر دروغ گفتن عقاب نمی شود، اما کسی که او را تسبیب به کذب می کند یا غذای نجس را به او می خوراند تسبیب به حرام کرده است همانطور که اگر میزبان غذای نجس را به مهمان بدهد و مهمان جاهل باشد، مهمان عقاب نمی شود ولی میزبان تسبیب به حرام کرده است. </w:t>
      </w:r>
    </w:p>
    <w:p w14:paraId="664E0A62" w14:textId="136DCA41" w:rsidR="00B7258C" w:rsidRDefault="00B7258C" w:rsidP="00B7258C">
      <w:pPr>
        <w:rPr>
          <w:rtl/>
        </w:rPr>
      </w:pPr>
      <w:r>
        <w:rPr>
          <w:rFonts w:hint="cs"/>
          <w:rtl/>
        </w:rPr>
        <w:t>البته در موردی که سیره اقامه شود مشمول اطلاق «لایجوز اکل النجس» نمی باشد</w:t>
      </w:r>
      <w:r w:rsidR="0003304F">
        <w:rPr>
          <w:rFonts w:hint="cs"/>
          <w:rtl/>
        </w:rPr>
        <w:t>.</w:t>
      </w:r>
      <w:r>
        <w:rPr>
          <w:rFonts w:hint="cs"/>
          <w:rtl/>
        </w:rPr>
        <w:t xml:space="preserve"> مانند اینکه اگر دهان بچه نجس باشد و ما غذای پاکی را به او بدهیم که با ملاقات با </w:t>
      </w:r>
      <w:r>
        <w:rPr>
          <w:rFonts w:hint="cs"/>
          <w:rtl/>
        </w:rPr>
        <w:lastRenderedPageBreak/>
        <w:t>دهان او نجس شود یا دست صبی نجس باشد و با ملاقات غذا ملاقات کند و آن را نجس کند، سیره در این موارد بر خوراندن این غذای نجس به صبی است.</w:t>
      </w:r>
    </w:p>
    <w:p w14:paraId="5AF13A33" w14:textId="0E2A8F87" w:rsidR="00B7258C" w:rsidRDefault="0003304F" w:rsidP="00B7258C">
      <w:pPr>
        <w:pStyle w:val="Heading2"/>
        <w:rPr>
          <w:rtl/>
        </w:rPr>
      </w:pPr>
      <w:bookmarkStart w:id="7" w:name="_Toc218322819"/>
      <w:r>
        <w:rPr>
          <w:rFonts w:hint="cs"/>
          <w:rtl/>
        </w:rPr>
        <w:t xml:space="preserve">ه. </w:t>
      </w:r>
      <w:r w:rsidR="00B7258C">
        <w:rPr>
          <w:rFonts w:hint="cs"/>
          <w:rtl/>
        </w:rPr>
        <w:t>مستثنیات جواز تسبیب صبی به حرام</w:t>
      </w:r>
      <w:bookmarkEnd w:id="7"/>
    </w:p>
    <w:p w14:paraId="7352A63E" w14:textId="1AD273B5" w:rsidR="00B7258C" w:rsidRDefault="00B7258C" w:rsidP="00B7258C">
      <w:pPr>
        <w:rPr>
          <w:rtl/>
        </w:rPr>
      </w:pPr>
      <w:r>
        <w:rPr>
          <w:rFonts w:hint="cs"/>
          <w:rtl/>
        </w:rPr>
        <w:t>اگر مانند آقای خویی مراد از رفع القلم</w:t>
      </w:r>
      <w:r w:rsidR="0003304F">
        <w:rPr>
          <w:rFonts w:hint="cs"/>
          <w:rtl/>
        </w:rPr>
        <w:t xml:space="preserve"> را</w:t>
      </w:r>
      <w:r>
        <w:rPr>
          <w:rFonts w:hint="cs"/>
          <w:rtl/>
        </w:rPr>
        <w:t xml:space="preserve"> رفع قلم تکلیف بدانیم تسبیب صبی به ارتکاب حرام، تسبیب به ارتکاب حرام صادر از صبی نخواهد بود</w:t>
      </w:r>
      <w:r w:rsidR="0003304F">
        <w:rPr>
          <w:rFonts w:hint="cs"/>
          <w:rtl/>
        </w:rPr>
        <w:t>.</w:t>
      </w:r>
      <w:r>
        <w:rPr>
          <w:rFonts w:hint="cs"/>
          <w:rtl/>
        </w:rPr>
        <w:t xml:space="preserve"> اما دو مورد استثناء شده است</w:t>
      </w:r>
      <w:r w:rsidR="0003304F">
        <w:rPr>
          <w:rFonts w:hint="cs"/>
          <w:rtl/>
        </w:rPr>
        <w:t>:</w:t>
      </w:r>
    </w:p>
    <w:p w14:paraId="44C0920F" w14:textId="50D270B3" w:rsidR="00B7258C" w:rsidRDefault="0003304F" w:rsidP="00B7258C">
      <w:pPr>
        <w:pStyle w:val="Heading3"/>
        <w:rPr>
          <w:rtl/>
        </w:rPr>
      </w:pPr>
      <w:bookmarkStart w:id="8" w:name="_Toc218322820"/>
      <w:r>
        <w:rPr>
          <w:rFonts w:hint="cs"/>
          <w:rtl/>
        </w:rPr>
        <w:t xml:space="preserve">1. </w:t>
      </w:r>
      <w:r w:rsidR="00B7258C">
        <w:rPr>
          <w:rFonts w:hint="cs"/>
          <w:rtl/>
        </w:rPr>
        <w:t>ترغیب صبی به ظلم</w:t>
      </w:r>
      <w:bookmarkEnd w:id="8"/>
    </w:p>
    <w:p w14:paraId="2AB014E7" w14:textId="6E0B0952" w:rsidR="00B7258C" w:rsidRDefault="00B7258C" w:rsidP="00B7258C">
      <w:pPr>
        <w:rPr>
          <w:rtl/>
          <w:lang w:bidi="ar-SA"/>
        </w:rPr>
      </w:pPr>
      <w:r>
        <w:rPr>
          <w:rFonts w:hint="cs"/>
          <w:rtl/>
          <w:lang w:bidi="ar-SA"/>
        </w:rPr>
        <w:t>ترغیب صبی به ظلم</w:t>
      </w:r>
      <w:r w:rsidR="0003304F">
        <w:rPr>
          <w:rFonts w:hint="cs"/>
          <w:rtl/>
          <w:lang w:bidi="ar-SA"/>
        </w:rPr>
        <w:t>،</w:t>
      </w:r>
      <w:r>
        <w:rPr>
          <w:rFonts w:hint="cs"/>
          <w:rtl/>
          <w:lang w:bidi="ar-SA"/>
        </w:rPr>
        <w:t xml:space="preserve"> </w:t>
      </w:r>
      <w:r w:rsidR="0003304F">
        <w:rPr>
          <w:rFonts w:hint="cs"/>
          <w:rtl/>
          <w:lang w:bidi="ar-SA"/>
        </w:rPr>
        <w:t xml:space="preserve">اعانت بر ظلم و </w:t>
      </w:r>
      <w:r>
        <w:rPr>
          <w:rFonts w:hint="cs"/>
          <w:rtl/>
          <w:lang w:bidi="ar-SA"/>
        </w:rPr>
        <w:t xml:space="preserve">حرام است ولو ظلم صبی به دیگران حرام نباشد، مثلا او را ترغیب کنیم که شخص دیگری را بزند. </w:t>
      </w:r>
    </w:p>
    <w:p w14:paraId="08BC3C8E" w14:textId="77777777" w:rsidR="0003304F" w:rsidRDefault="00B7258C" w:rsidP="00B7258C">
      <w:pPr>
        <w:rPr>
          <w:rtl/>
          <w:lang w:bidi="ar-SA"/>
        </w:rPr>
      </w:pPr>
      <w:r>
        <w:rPr>
          <w:rFonts w:hint="cs"/>
          <w:rtl/>
          <w:lang w:bidi="ar-SA"/>
        </w:rPr>
        <w:t xml:space="preserve">توجه شود که آقای خویی در مورد اعانت بر اثم اشکال کردند که دلیل بر حرمت وجود ندارد و آیه </w:t>
      </w:r>
      <w:r>
        <w:rPr>
          <w:rFonts w:ascii="Times New Roman" w:hAnsi="Times New Roman" w:cs="Times New Roman"/>
          <w:color w:val="007200"/>
          <w:rtl/>
        </w:rPr>
        <w:t>﴿</w:t>
      </w:r>
      <w:r w:rsidRPr="0007614F">
        <w:rPr>
          <w:color w:val="008000"/>
          <w:rtl/>
        </w:rPr>
        <w:t>وَ لا تَعاوَنُوا عَلَى الْإِثْمِ وَ الْعُدْوانِ</w:t>
      </w:r>
      <w:r>
        <w:rPr>
          <w:rFonts w:ascii="Times New Roman" w:hAnsi="Times New Roman" w:cs="Times New Roman"/>
          <w:color w:val="007200"/>
          <w:rtl/>
        </w:rPr>
        <w:t>﴾</w:t>
      </w:r>
      <w:r>
        <w:rPr>
          <w:rStyle w:val="FootnoteReference"/>
          <w:rtl/>
        </w:rPr>
        <w:footnoteReference w:id="12"/>
      </w:r>
      <w:r>
        <w:rPr>
          <w:rFonts w:hint="cs"/>
          <w:rtl/>
        </w:rPr>
        <w:t xml:space="preserve"> </w:t>
      </w:r>
      <w:r w:rsidR="0003304F">
        <w:rPr>
          <w:rFonts w:hint="cs"/>
          <w:rtl/>
        </w:rPr>
        <w:t xml:space="preserve">را </w:t>
      </w:r>
      <w:r>
        <w:rPr>
          <w:rFonts w:hint="cs"/>
          <w:rtl/>
        </w:rPr>
        <w:t xml:space="preserve">در مورد تعاون </w:t>
      </w:r>
      <w:r w:rsidR="0003304F">
        <w:rPr>
          <w:rFonts w:hint="cs"/>
          <w:rtl/>
        </w:rPr>
        <w:t>د</w:t>
      </w:r>
      <w:r>
        <w:rPr>
          <w:rFonts w:hint="cs"/>
          <w:rtl/>
        </w:rPr>
        <w:t>ا</w:t>
      </w:r>
      <w:r w:rsidR="0003304F">
        <w:rPr>
          <w:rFonts w:hint="cs"/>
          <w:rtl/>
        </w:rPr>
        <w:t>ن</w:t>
      </w:r>
      <w:r>
        <w:rPr>
          <w:rFonts w:hint="cs"/>
          <w:rtl/>
        </w:rPr>
        <w:t>ست</w:t>
      </w:r>
      <w:r w:rsidR="0003304F">
        <w:rPr>
          <w:rFonts w:hint="cs"/>
          <w:rtl/>
        </w:rPr>
        <w:t>ند</w:t>
      </w:r>
      <w:r>
        <w:rPr>
          <w:rFonts w:hint="cs"/>
          <w:rtl/>
        </w:rPr>
        <w:t xml:space="preserve"> یعنی گناه از دو نفر به طور مشترک صادر شود که البته این نظر خلاف مشهور است.</w:t>
      </w:r>
      <w:r>
        <w:rPr>
          <w:rFonts w:hint="cs"/>
          <w:rtl/>
          <w:lang w:bidi="ar-SA"/>
        </w:rPr>
        <w:t xml:space="preserve"> </w:t>
      </w:r>
    </w:p>
    <w:p w14:paraId="177ED37A" w14:textId="77777777" w:rsidR="0003304F" w:rsidRDefault="00B7258C" w:rsidP="00B7258C">
      <w:pPr>
        <w:rPr>
          <w:rtl/>
        </w:rPr>
      </w:pPr>
      <w:r>
        <w:rPr>
          <w:rFonts w:hint="cs"/>
          <w:rtl/>
          <w:lang w:bidi="ar-SA"/>
        </w:rPr>
        <w:t>اما در مورد اعانت بر ظلم دلیل داریم: «</w:t>
      </w:r>
      <w:r w:rsidRPr="0007614F">
        <w:rPr>
          <w:color w:val="008000"/>
          <w:rtl/>
        </w:rPr>
        <w:t>مُحَمَّدُ بْنُ يَعْقُوبَ عَنْ مُحَمَّدِ بْنِ يَحْيَى عَنْ أَحْمَدَ بْنِ مُحَمَّدٍ عَنْ مُحَمَّدِ بْنِ سِنَانٍ عَنْ طَلْحَةَ بْنِ زَيْدٍ عَنْ أَبِي عَبْدِ اللَّهِ ع‏</w:t>
      </w:r>
      <w:r w:rsidRPr="0007614F">
        <w:rPr>
          <w:rFonts w:hint="cs"/>
          <w:color w:val="008000"/>
          <w:rtl/>
        </w:rPr>
        <w:t xml:space="preserve"> </w:t>
      </w:r>
      <w:r w:rsidRPr="0007614F">
        <w:rPr>
          <w:color w:val="008000"/>
          <w:rtl/>
        </w:rPr>
        <w:t>قَالَ: الْعَامِلُ بِالظُّلْمِ وَ الْمُعِينُ لَهُ وَ الرَّاضِي بِهِ شُرَكَاءُ ثَلَاثَتُهُمْ</w:t>
      </w:r>
      <w:r>
        <w:rPr>
          <w:rFonts w:hint="cs"/>
          <w:rtl/>
        </w:rPr>
        <w:t>»</w:t>
      </w:r>
      <w:r>
        <w:rPr>
          <w:rStyle w:val="FootnoteReference"/>
          <w:rtl/>
        </w:rPr>
        <w:footnoteReference w:id="13"/>
      </w:r>
      <w:r>
        <w:rPr>
          <w:rFonts w:hint="cs"/>
          <w:rtl/>
        </w:rPr>
        <w:t xml:space="preserve">. </w:t>
      </w:r>
    </w:p>
    <w:p w14:paraId="401EB863" w14:textId="386BB801" w:rsidR="00B7258C" w:rsidRDefault="00B7258C" w:rsidP="00B7258C">
      <w:pPr>
        <w:rPr>
          <w:rtl/>
        </w:rPr>
      </w:pPr>
      <w:r>
        <w:rPr>
          <w:rFonts w:hint="cs"/>
          <w:rtl/>
        </w:rPr>
        <w:t>اعانت بر ظلم مطلقا حرام است چه ظلم از روی عذر صادر شود یا از روی تعمد صادر شود.</w:t>
      </w:r>
    </w:p>
    <w:p w14:paraId="759478F7" w14:textId="77777777" w:rsidR="00B7258C" w:rsidRDefault="00B7258C" w:rsidP="00B7258C">
      <w:pPr>
        <w:rPr>
          <w:rtl/>
        </w:rPr>
      </w:pPr>
      <w:r>
        <w:rPr>
          <w:rFonts w:hint="cs"/>
          <w:rtl/>
          <w:lang w:bidi="ar-SA"/>
        </w:rPr>
        <w:t>ظلم هم مراتبی دارد مثلا صبی ممیز را در مغازه تشویق کند که تبلیغات نادرست انجام دهد و غش مؤمن هم ظلم است.</w:t>
      </w:r>
      <w:r>
        <w:rPr>
          <w:rFonts w:hint="cs"/>
          <w:rtl/>
        </w:rPr>
        <w:t xml:space="preserve"> در مورد تسبیب الی الحرام، نیازی به انتساب نیست مانند اینکه وقتی میزبان غذای نجس را در جلو مهمان قرار می دهد، اکل نجس منتسب به میزبان نیست اما همین که میزبان در طریق صدور فعل قرار گرفته و اراده مهمان به نحوی تحت تأثیر میزبان بود برای تسبیب کافی است. بنابراین در اینجا ولو غش مؤمن منتسب به مکلف نباشد اما چون صبی را تشویق کرده است اعانت بر ظلم کرده و حرام است.</w:t>
      </w:r>
    </w:p>
    <w:p w14:paraId="5BF1951D" w14:textId="3DE06642" w:rsidR="00B7258C" w:rsidRDefault="0003304F" w:rsidP="00B7258C">
      <w:pPr>
        <w:pStyle w:val="Heading3"/>
        <w:rPr>
          <w:rtl/>
        </w:rPr>
      </w:pPr>
      <w:bookmarkStart w:id="9" w:name="_Toc218322821"/>
      <w:r>
        <w:rPr>
          <w:rFonts w:hint="cs"/>
          <w:rtl/>
        </w:rPr>
        <w:t xml:space="preserve">2. </w:t>
      </w:r>
      <w:r w:rsidR="00B7258C">
        <w:rPr>
          <w:rFonts w:hint="cs"/>
          <w:rtl/>
        </w:rPr>
        <w:t>استناد عرفی به مکلف</w:t>
      </w:r>
      <w:bookmarkEnd w:id="9"/>
    </w:p>
    <w:p w14:paraId="5DF25D43" w14:textId="3BD8CAE4" w:rsidR="00B7258C" w:rsidRDefault="00B7258C" w:rsidP="00B7258C">
      <w:pPr>
        <w:rPr>
          <w:rtl/>
        </w:rPr>
      </w:pPr>
      <w:r>
        <w:rPr>
          <w:rFonts w:hint="cs"/>
          <w:rtl/>
        </w:rPr>
        <w:t xml:space="preserve">استثناء دوم در موردی است که حرام عرفا مستند به مسبب شود. مانند اینکه به </w:t>
      </w:r>
      <w:r w:rsidR="0003304F">
        <w:rPr>
          <w:rFonts w:hint="cs"/>
          <w:rtl/>
        </w:rPr>
        <w:t>تعدادی</w:t>
      </w:r>
      <w:r>
        <w:rPr>
          <w:rFonts w:hint="cs"/>
          <w:rtl/>
        </w:rPr>
        <w:t xml:space="preserve"> از افراد غیر بالغ دستور مجسمه سازی بدهد. </w:t>
      </w:r>
    </w:p>
    <w:p w14:paraId="35F0CA7A" w14:textId="77777777" w:rsidR="00B7258C" w:rsidRDefault="00B7258C" w:rsidP="00B7258C">
      <w:pPr>
        <w:pStyle w:val="Heading1"/>
        <w:rPr>
          <w:rtl/>
        </w:rPr>
      </w:pPr>
      <w:bookmarkStart w:id="10" w:name="_Toc218322822"/>
      <w:r>
        <w:rPr>
          <w:rFonts w:hint="cs"/>
          <w:rtl/>
        </w:rPr>
        <w:t>فصل فی صلاة الاستئجار</w:t>
      </w:r>
      <w:bookmarkEnd w:id="10"/>
    </w:p>
    <w:p w14:paraId="71947CD0" w14:textId="77777777" w:rsidR="00B7258C" w:rsidRDefault="00B7258C" w:rsidP="00B7258C">
      <w:pPr>
        <w:rPr>
          <w:rtl/>
        </w:rPr>
      </w:pPr>
      <w:r w:rsidRPr="00A053EE">
        <w:rPr>
          <w:color w:val="0000FF"/>
          <w:rtl/>
        </w:rPr>
        <w:lastRenderedPageBreak/>
        <w:t>يجوز الاستئجار</w:t>
      </w:r>
      <w:r w:rsidRPr="00A053EE">
        <w:rPr>
          <w:rFonts w:hint="cs"/>
          <w:color w:val="0000FF"/>
          <w:rtl/>
        </w:rPr>
        <w:t xml:space="preserve"> </w:t>
      </w:r>
      <w:r w:rsidRPr="00A053EE">
        <w:rPr>
          <w:color w:val="0000FF"/>
          <w:rtl/>
        </w:rPr>
        <w:t>للصلاة بل ولسائر العبادات عن الأموات إذا فاتت منهم، وتفرغ ذمّتهم  بفعل الأجير. وكذا يجوز التبرّع عنهم</w:t>
      </w:r>
      <w:r w:rsidRPr="00A053EE">
        <w:rPr>
          <w:rFonts w:hint="cs"/>
          <w:color w:val="0000FF"/>
          <w:rtl/>
        </w:rPr>
        <w:t>.</w:t>
      </w:r>
      <w:r w:rsidRPr="00A053EE">
        <w:rPr>
          <w:color w:val="0000FF"/>
          <w:rtl/>
        </w:rPr>
        <w:t xml:space="preserve"> ولا يجوز الاستئجار ولا التبرّع عن الأحياء في الواجبات وإن كانوا عاجزين عن المباشرة، إلّاالحجّ‌ إذا كان مستطيعاً وكان عاجزاً عن المباشرة، نعم، يجوز إتيان المستحبات وإهداء ثوابها للأحياء، كما يجوز ذلك للأموات، وتجوز النيابة عن الأحياء في بعض المستحبّات</w:t>
      </w:r>
      <w:r>
        <w:rPr>
          <w:rStyle w:val="FootnoteReference"/>
          <w:rtl/>
        </w:rPr>
        <w:footnoteReference w:id="14"/>
      </w:r>
      <w:r>
        <w:rPr>
          <w:rFonts w:hint="cs"/>
          <w:rtl/>
        </w:rPr>
        <w:t>.</w:t>
      </w:r>
    </w:p>
    <w:p w14:paraId="6885373D" w14:textId="340F181B" w:rsidR="00B7258C" w:rsidRDefault="00B7258C" w:rsidP="00B7258C">
      <w:pPr>
        <w:rPr>
          <w:rtl/>
        </w:rPr>
      </w:pPr>
      <w:r>
        <w:rPr>
          <w:rFonts w:hint="cs"/>
          <w:rtl/>
        </w:rPr>
        <w:t xml:space="preserve">مشهور اصل این مطلب را می پذیرند که اگر میت حج یا نماز یا روزه ای </w:t>
      </w:r>
      <w:r w:rsidR="0003304F">
        <w:rPr>
          <w:rFonts w:hint="cs"/>
          <w:rtl/>
        </w:rPr>
        <w:t>بدهکار</w:t>
      </w:r>
      <w:r>
        <w:rPr>
          <w:rFonts w:hint="cs"/>
          <w:rtl/>
        </w:rPr>
        <w:t xml:space="preserve"> بود، مشروع است که برای انجام این اعمال اجیر گرفته شود. البته علامه حلی به ابن ابی عقیل نسبت می دهد که با استناد به آیه </w:t>
      </w:r>
      <w:r w:rsidRPr="00A053EE">
        <w:rPr>
          <w:rFonts w:ascii="Times New Roman" w:hAnsi="Times New Roman" w:cs="Times New Roman" w:hint="cs"/>
          <w:color w:val="008000"/>
          <w:rtl/>
        </w:rPr>
        <w:t>﴿</w:t>
      </w:r>
      <w:r w:rsidRPr="00A053EE">
        <w:rPr>
          <w:rFonts w:hint="cs"/>
          <w:color w:val="008000"/>
          <w:rtl/>
        </w:rPr>
        <w:t>وَ</w:t>
      </w:r>
      <w:r w:rsidRPr="00A053EE">
        <w:rPr>
          <w:color w:val="008000"/>
          <w:rtl/>
        </w:rPr>
        <w:t xml:space="preserve"> </w:t>
      </w:r>
      <w:r w:rsidRPr="00A053EE">
        <w:rPr>
          <w:rFonts w:hint="cs"/>
          <w:color w:val="008000"/>
          <w:rtl/>
        </w:rPr>
        <w:t>أَنْ</w:t>
      </w:r>
      <w:r w:rsidRPr="00A053EE">
        <w:rPr>
          <w:color w:val="008000"/>
          <w:rtl/>
        </w:rPr>
        <w:t xml:space="preserve"> </w:t>
      </w:r>
      <w:r w:rsidRPr="00A053EE">
        <w:rPr>
          <w:rFonts w:hint="cs"/>
          <w:color w:val="008000"/>
          <w:rtl/>
        </w:rPr>
        <w:t>لَيْسَ</w:t>
      </w:r>
      <w:r w:rsidRPr="00A053EE">
        <w:rPr>
          <w:color w:val="008000"/>
          <w:rtl/>
        </w:rPr>
        <w:t xml:space="preserve"> </w:t>
      </w:r>
      <w:r w:rsidRPr="00A053EE">
        <w:rPr>
          <w:rFonts w:hint="cs"/>
          <w:color w:val="008000"/>
          <w:rtl/>
        </w:rPr>
        <w:t>لِلْإِنْسانِ</w:t>
      </w:r>
      <w:r w:rsidRPr="00A053EE">
        <w:rPr>
          <w:color w:val="008000"/>
          <w:rtl/>
        </w:rPr>
        <w:t xml:space="preserve"> </w:t>
      </w:r>
      <w:r w:rsidRPr="00A053EE">
        <w:rPr>
          <w:rFonts w:hint="cs"/>
          <w:color w:val="008000"/>
          <w:rtl/>
        </w:rPr>
        <w:t>إِلاَّ</w:t>
      </w:r>
      <w:r w:rsidRPr="00A053EE">
        <w:rPr>
          <w:color w:val="008000"/>
          <w:rtl/>
        </w:rPr>
        <w:t xml:space="preserve"> </w:t>
      </w:r>
      <w:r w:rsidRPr="00A053EE">
        <w:rPr>
          <w:rFonts w:hint="cs"/>
          <w:color w:val="008000"/>
          <w:rtl/>
        </w:rPr>
        <w:t>ما</w:t>
      </w:r>
      <w:r w:rsidRPr="00A053EE">
        <w:rPr>
          <w:color w:val="008000"/>
          <w:rtl/>
        </w:rPr>
        <w:t xml:space="preserve"> </w:t>
      </w:r>
      <w:r w:rsidRPr="00A053EE">
        <w:rPr>
          <w:rFonts w:hint="cs"/>
          <w:color w:val="008000"/>
          <w:rtl/>
        </w:rPr>
        <w:t>سَعى</w:t>
      </w:r>
      <w:r w:rsidRPr="00A053EE">
        <w:rPr>
          <w:rFonts w:ascii="Times New Roman" w:hAnsi="Times New Roman" w:cs="Times New Roman" w:hint="cs"/>
          <w:color w:val="008000"/>
          <w:rtl/>
        </w:rPr>
        <w:t>﴾</w:t>
      </w:r>
      <w:r w:rsidRPr="0004131E">
        <w:rPr>
          <w:rtl/>
        </w:rPr>
        <w:t>‏</w:t>
      </w:r>
      <w:r>
        <w:rPr>
          <w:rStyle w:val="FootnoteReference"/>
          <w:rtl/>
        </w:rPr>
        <w:footnoteReference w:id="15"/>
      </w:r>
      <w:r>
        <w:rPr>
          <w:rFonts w:hint="cs"/>
          <w:rtl/>
        </w:rPr>
        <w:t xml:space="preserve"> فرموده: این نماز به حال میت فایده ای ندارد</w:t>
      </w:r>
      <w:r>
        <w:rPr>
          <w:rStyle w:val="FootnoteReference"/>
          <w:rtl/>
        </w:rPr>
        <w:footnoteReference w:id="16"/>
      </w:r>
      <w:r>
        <w:rPr>
          <w:rFonts w:hint="cs"/>
          <w:rtl/>
        </w:rPr>
        <w:t>.</w:t>
      </w:r>
    </w:p>
    <w:p w14:paraId="09591B98" w14:textId="134F5286" w:rsidR="00D57175" w:rsidRPr="00D57175" w:rsidRDefault="008C7883" w:rsidP="008C7883">
      <w:pPr>
        <w:rPr>
          <w:rtl/>
        </w:rPr>
      </w:pPr>
      <w:r>
        <w:rPr>
          <w:rFonts w:hint="cs"/>
          <w:rtl/>
        </w:rPr>
        <w:t xml:space="preserve"> </w:t>
      </w:r>
    </w:p>
    <w:sectPr w:rsidR="00D57175" w:rsidRPr="00D57175" w:rsidSect="004D37DA">
      <w:headerReference w:type="even" r:id="rId8"/>
      <w:headerReference w:type="default" r:id="rId9"/>
      <w:footerReference w:type="even" r:id="rId10"/>
      <w:footerReference w:type="default" r:id="rId11"/>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EA91F" w14:textId="77777777" w:rsidR="00D867AF" w:rsidRDefault="00D867AF" w:rsidP="00147A3C">
      <w:r>
        <w:separator/>
      </w:r>
    </w:p>
    <w:p w14:paraId="4A2AE7FF" w14:textId="77777777" w:rsidR="00D867AF" w:rsidRDefault="00D867AF" w:rsidP="00147A3C"/>
  </w:endnote>
  <w:endnote w:type="continuationSeparator" w:id="0">
    <w:p w14:paraId="539C599A" w14:textId="77777777" w:rsidR="00D867AF" w:rsidRDefault="00D867AF" w:rsidP="00147A3C">
      <w:r>
        <w:continuationSeparator/>
      </w:r>
    </w:p>
    <w:p w14:paraId="30264ABA" w14:textId="77777777" w:rsidR="00D867AF" w:rsidRDefault="00D867AF"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C917F7">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8168E" w14:textId="77777777" w:rsidR="00D867AF" w:rsidRDefault="00D867AF" w:rsidP="009027B8">
      <w:pPr>
        <w:spacing w:after="0"/>
      </w:pPr>
      <w:r>
        <w:separator/>
      </w:r>
    </w:p>
  </w:footnote>
  <w:footnote w:type="continuationSeparator" w:id="0">
    <w:p w14:paraId="615625C3" w14:textId="77777777" w:rsidR="00D867AF" w:rsidRDefault="00D867AF" w:rsidP="009027B8">
      <w:pPr>
        <w:spacing w:after="0"/>
      </w:pPr>
      <w:r>
        <w:continuationSeparator/>
      </w:r>
    </w:p>
    <w:p w14:paraId="40F383C1" w14:textId="77777777" w:rsidR="00D867AF" w:rsidRDefault="00D867AF" w:rsidP="00147A3C"/>
  </w:footnote>
  <w:footnote w:type="continuationNotice" w:id="1">
    <w:p w14:paraId="3056D062" w14:textId="77777777" w:rsidR="00D867AF" w:rsidRPr="009027B8" w:rsidRDefault="00D867AF" w:rsidP="009027B8">
      <w:pPr>
        <w:pStyle w:val="Footer"/>
      </w:pPr>
    </w:p>
  </w:footnote>
  <w:footnote w:id="2">
    <w:p w14:paraId="59A50CC7" w14:textId="77777777" w:rsidR="00B7258C" w:rsidRDefault="00B7258C" w:rsidP="00B7258C">
      <w:pPr>
        <w:pStyle w:val="FootnoteText"/>
        <w:rPr>
          <w:rtl/>
        </w:rPr>
      </w:pPr>
      <w:r>
        <w:rPr>
          <w:rStyle w:val="FootnoteReference"/>
        </w:rPr>
        <w:footnoteRef/>
      </w:r>
      <w:r>
        <w:rPr>
          <w:rtl/>
        </w:rPr>
        <w:t xml:space="preserve"> </w:t>
      </w:r>
      <w:hyperlink r:id="rId1" w:history="1">
        <w:r w:rsidRPr="00B22E6C">
          <w:rPr>
            <w:rStyle w:val="Hyperlink"/>
            <w:rFonts w:hint="cs"/>
            <w:rtl/>
          </w:rPr>
          <w:t xml:space="preserve">العروة الوثقی و التعلیقات علیها </w:t>
        </w:r>
        <w:r w:rsidRPr="00B22E6C">
          <w:rPr>
            <w:rStyle w:val="Hyperlink"/>
            <w:rtl/>
          </w:rPr>
          <w:t>8: 88</w:t>
        </w:r>
      </w:hyperlink>
    </w:p>
  </w:footnote>
  <w:footnote w:id="3">
    <w:p w14:paraId="2BE82488" w14:textId="77777777" w:rsidR="00B7258C" w:rsidRDefault="00B7258C" w:rsidP="00B7258C">
      <w:pPr>
        <w:pStyle w:val="FootnoteText"/>
      </w:pPr>
      <w:r>
        <w:rPr>
          <w:rStyle w:val="FootnoteReference"/>
        </w:rPr>
        <w:footnoteRef/>
      </w:r>
      <w:r>
        <w:rPr>
          <w:rtl/>
        </w:rPr>
        <w:t xml:space="preserve"> </w:t>
      </w:r>
      <w:hyperlink r:id="rId2" w:history="1">
        <w:r w:rsidRPr="00B22E6C">
          <w:rPr>
            <w:rStyle w:val="Hyperlink"/>
            <w:rtl/>
          </w:rPr>
          <w:t xml:space="preserve">موسوعه </w:t>
        </w:r>
        <w:r w:rsidRPr="00B22E6C">
          <w:rPr>
            <w:rStyle w:val="Hyperlink"/>
            <w:rFonts w:hint="cs"/>
            <w:rtl/>
          </w:rPr>
          <w:t xml:space="preserve">الامام الخوئی </w:t>
        </w:r>
        <w:r w:rsidRPr="00B22E6C">
          <w:rPr>
            <w:rStyle w:val="Hyperlink"/>
            <w:rtl/>
          </w:rPr>
          <w:t>3: 312</w:t>
        </w:r>
      </w:hyperlink>
    </w:p>
  </w:footnote>
  <w:footnote w:id="4">
    <w:p w14:paraId="03CE4103" w14:textId="77777777" w:rsidR="00B7258C" w:rsidRDefault="00B7258C" w:rsidP="00B7258C">
      <w:pPr>
        <w:pStyle w:val="FootnoteText"/>
        <w:rPr>
          <w:rtl/>
        </w:rPr>
      </w:pPr>
      <w:r>
        <w:rPr>
          <w:rStyle w:val="FootnoteReference"/>
        </w:rPr>
        <w:footnoteRef/>
      </w:r>
      <w:r>
        <w:rPr>
          <w:rtl/>
        </w:rPr>
        <w:t xml:space="preserve"> </w:t>
      </w:r>
      <w:hyperlink r:id="rId3" w:history="1">
        <w:r w:rsidRPr="00B22E6C">
          <w:rPr>
            <w:rStyle w:val="Hyperlink"/>
            <w:rFonts w:hint="cs"/>
            <w:rtl/>
          </w:rPr>
          <w:t xml:space="preserve">العروة الوثقی و التعلیقات علیها </w:t>
        </w:r>
        <w:r w:rsidRPr="00B22E6C">
          <w:rPr>
            <w:rStyle w:val="Hyperlink"/>
            <w:rtl/>
          </w:rPr>
          <w:t>8: 88</w:t>
        </w:r>
      </w:hyperlink>
    </w:p>
  </w:footnote>
  <w:footnote w:id="5">
    <w:p w14:paraId="1AA0CE22" w14:textId="77777777" w:rsidR="00B7258C" w:rsidRDefault="00B7258C" w:rsidP="00B7258C">
      <w:pPr>
        <w:pStyle w:val="FootnoteText"/>
        <w:rPr>
          <w:rtl/>
        </w:rPr>
      </w:pPr>
      <w:r>
        <w:rPr>
          <w:rStyle w:val="FootnoteReference"/>
        </w:rPr>
        <w:footnoteRef/>
      </w:r>
      <w:r>
        <w:rPr>
          <w:rFonts w:hint="cs"/>
          <w:rtl/>
        </w:rPr>
        <w:t xml:space="preserve"> </w:t>
      </w:r>
      <w:hyperlink r:id="rId4" w:history="1">
        <w:r w:rsidRPr="00B22E6C">
          <w:rPr>
            <w:rStyle w:val="Hyperlink"/>
            <w:rtl/>
          </w:rPr>
          <w:t>وسائل الشيعة، ج‏4، ص: 20</w:t>
        </w:r>
      </w:hyperlink>
      <w:r w:rsidRPr="00975954">
        <w:rPr>
          <w:rtl/>
        </w:rPr>
        <w:t xml:space="preserve"> </w:t>
      </w:r>
      <w:r>
        <w:rPr>
          <w:rFonts w:hint="cs"/>
          <w:rtl/>
        </w:rPr>
        <w:t xml:space="preserve">؛ </w:t>
      </w:r>
      <w:r w:rsidRPr="00975954">
        <w:rPr>
          <w:color w:val="008000"/>
          <w:rtl/>
        </w:rPr>
        <w:t>وَ بِإِسْنَادِهِ عَنْ عَبْدِ اللَّهِ بْنِ فَضَالَةَ عَنْ أَبِي عَبْدِ اللَّهِ أَوْ «8» أَبِي جَعْفَرٍ ع فِي حَدِيثٍ قَالَ سَمِعْتُهُ يَقُولُ يُتْرَكُ الْغُلَامُ حَتَّى يَتِمَّ لَهُ سَبْعُ سِنِينَ فَإِذَا تَمَّ لَهُ سَبْعُ سِنِينَ قِيلَ لَهُ اغْسِلْ وَجْهَكَ وَ كَفَّيْكَ فَإِذَا غَسَلَهُمَا قِيلَ لَهُ صَلِّ ثُمَّ يُتْرَكُ حَتَّى يَتِمَّ لَهُ تِسْعُ سِنِينَ فَإِذَا تَمَّتْ لَهُ عُلِّمَ الْوُضُوءَ وَ ضُرِبَ عَلَيْهِ وَ أُمِرَ بِالصَّلَاةِ وَ ضُرِبَ عَلَيْهَا فَإِذَا تَعَلَّمَ الْوُضُوءَ وَ الصَّلَاةَ غَفَرَ اللَّهُ «9» لِوَالِدَيْهِ إِنْ شَاءَ اللَّهُ.</w:t>
      </w:r>
    </w:p>
  </w:footnote>
  <w:footnote w:id="6">
    <w:p w14:paraId="2610B11D" w14:textId="77777777" w:rsidR="00B7258C" w:rsidRDefault="00B7258C" w:rsidP="00B7258C">
      <w:pPr>
        <w:pStyle w:val="FootnoteText"/>
      </w:pPr>
      <w:r>
        <w:rPr>
          <w:rStyle w:val="FootnoteReference"/>
        </w:rPr>
        <w:footnoteRef/>
      </w:r>
      <w:r>
        <w:rPr>
          <w:rtl/>
        </w:rPr>
        <w:t xml:space="preserve"> </w:t>
      </w:r>
      <w:hyperlink r:id="rId5" w:history="1">
        <w:r w:rsidRPr="00B22E6C">
          <w:rPr>
            <w:rStyle w:val="Hyperlink"/>
            <w:rFonts w:hint="cs"/>
            <w:rtl/>
          </w:rPr>
          <w:t xml:space="preserve">العروة الوثقی و التعلیقات علیها </w:t>
        </w:r>
        <w:r w:rsidRPr="00B22E6C">
          <w:rPr>
            <w:rStyle w:val="Hyperlink"/>
            <w:rtl/>
          </w:rPr>
          <w:t>8: 88</w:t>
        </w:r>
      </w:hyperlink>
      <w:r>
        <w:rPr>
          <w:rFonts w:hint="cs"/>
          <w:rtl/>
        </w:rPr>
        <w:t xml:space="preserve">؛ </w:t>
      </w:r>
      <w:r w:rsidRPr="00E15E78">
        <w:rPr>
          <w:color w:val="000080"/>
          <w:rtl/>
        </w:rPr>
        <w:t xml:space="preserve"> بل على الأحوط فيه وفيما بعده. (الخوئي).</w:t>
      </w:r>
    </w:p>
  </w:footnote>
  <w:footnote w:id="7">
    <w:p w14:paraId="6967794E" w14:textId="77777777" w:rsidR="00B7258C" w:rsidRDefault="00B7258C" w:rsidP="00B7258C">
      <w:pPr>
        <w:pStyle w:val="FootnoteText"/>
        <w:rPr>
          <w:rtl/>
        </w:rPr>
      </w:pPr>
      <w:r>
        <w:rPr>
          <w:rStyle w:val="FootnoteReference"/>
        </w:rPr>
        <w:footnoteRef/>
      </w:r>
      <w:r>
        <w:rPr>
          <w:rtl/>
        </w:rPr>
        <w:t xml:space="preserve"> </w:t>
      </w:r>
      <w:hyperlink r:id="rId6" w:history="1">
        <w:r w:rsidRPr="00B22E6C">
          <w:rPr>
            <w:rStyle w:val="Hyperlink"/>
            <w:rFonts w:hint="cs"/>
            <w:rtl/>
          </w:rPr>
          <w:t>موسوعة الامام الخوئی 16: 195</w:t>
        </w:r>
      </w:hyperlink>
      <w:r>
        <w:rPr>
          <w:rFonts w:hint="cs"/>
          <w:rtl/>
        </w:rPr>
        <w:t xml:space="preserve">؛ </w:t>
      </w:r>
      <w:r w:rsidRPr="0016793F">
        <w:rPr>
          <w:color w:val="000080"/>
          <w:rtl/>
        </w:rPr>
        <w:t>و من هذا القبيل الغناء، حيث إنّه لم يظهر من دليل حرمته المنع عن وجوده مطلقاً، فلا يجب منع المميّز أو المجنون من سماعه</w:t>
      </w:r>
    </w:p>
  </w:footnote>
  <w:footnote w:id="8">
    <w:p w14:paraId="41A58206" w14:textId="77777777" w:rsidR="00B7258C" w:rsidRDefault="00B7258C" w:rsidP="00B7258C">
      <w:pPr>
        <w:pStyle w:val="FootnoteText"/>
        <w:rPr>
          <w:rtl/>
        </w:rPr>
      </w:pPr>
      <w:r>
        <w:rPr>
          <w:rStyle w:val="FootnoteReference"/>
        </w:rPr>
        <w:footnoteRef/>
      </w:r>
      <w:r>
        <w:rPr>
          <w:rtl/>
        </w:rPr>
        <w:t xml:space="preserve"> </w:t>
      </w:r>
      <w:hyperlink r:id="rId7" w:history="1">
        <w:r w:rsidRPr="00B22E6C">
          <w:rPr>
            <w:rStyle w:val="Hyperlink"/>
            <w:rFonts w:hint="cs"/>
            <w:rtl/>
          </w:rPr>
          <w:t xml:space="preserve">العروة الوثقی و التعلیقات علیها </w:t>
        </w:r>
        <w:r w:rsidRPr="00B22E6C">
          <w:rPr>
            <w:rStyle w:val="Hyperlink"/>
            <w:rtl/>
          </w:rPr>
          <w:t>8:</w:t>
        </w:r>
      </w:hyperlink>
      <w:r w:rsidRPr="00AA3DE1">
        <w:rPr>
          <w:rtl/>
        </w:rPr>
        <w:t xml:space="preserve"> 88</w:t>
      </w:r>
      <w:r>
        <w:rPr>
          <w:rFonts w:hint="cs"/>
          <w:rtl/>
        </w:rPr>
        <w:t xml:space="preserve">؛ </w:t>
      </w:r>
      <w:r w:rsidRPr="00D00710">
        <w:rPr>
          <w:color w:val="000080"/>
          <w:rtl/>
        </w:rPr>
        <w:t>وشرب المسكر والنميمة، وأمّا عدّ الغيبة والغناء من هذا القسم فمبنيّ‌ على‌الاحتياط. (السيستاني).</w:t>
      </w:r>
    </w:p>
  </w:footnote>
  <w:footnote w:id="9">
    <w:p w14:paraId="0579EE1C" w14:textId="77777777" w:rsidR="00B7258C" w:rsidRDefault="00B7258C" w:rsidP="00B7258C">
      <w:pPr>
        <w:pStyle w:val="FootnoteText"/>
        <w:rPr>
          <w:rtl/>
        </w:rPr>
      </w:pPr>
      <w:r>
        <w:rPr>
          <w:rStyle w:val="FootnoteReference"/>
        </w:rPr>
        <w:footnoteRef/>
      </w:r>
      <w:r>
        <w:t xml:space="preserve"> </w:t>
      </w:r>
      <w:hyperlink r:id="rId8" w:history="1">
        <w:r w:rsidRPr="00B22E6C">
          <w:rPr>
            <w:rStyle w:val="Hyperlink"/>
            <w:rtl/>
          </w:rPr>
          <w:t>وسائل الشيعة، ج‏15، ص: 141</w:t>
        </w:r>
      </w:hyperlink>
    </w:p>
  </w:footnote>
  <w:footnote w:id="10">
    <w:p w14:paraId="31B0580D" w14:textId="77777777" w:rsidR="00B7258C" w:rsidRDefault="00B7258C" w:rsidP="00B7258C">
      <w:pPr>
        <w:pStyle w:val="FootnoteText"/>
        <w:rPr>
          <w:rtl/>
        </w:rPr>
      </w:pPr>
      <w:r>
        <w:rPr>
          <w:rStyle w:val="FootnoteReference"/>
        </w:rPr>
        <w:footnoteRef/>
      </w:r>
      <w:r>
        <w:rPr>
          <w:rtl/>
        </w:rPr>
        <w:t xml:space="preserve"> </w:t>
      </w:r>
      <w:hyperlink r:id="rId9" w:history="1">
        <w:r w:rsidRPr="00B22E6C">
          <w:rPr>
            <w:rStyle w:val="Hyperlink"/>
            <w:rFonts w:hint="cs"/>
            <w:rtl/>
          </w:rPr>
          <w:t xml:space="preserve">العروة الوثقی و التعلیقات علیها </w:t>
        </w:r>
        <w:r w:rsidRPr="00B22E6C">
          <w:rPr>
            <w:rStyle w:val="Hyperlink"/>
            <w:rtl/>
          </w:rPr>
          <w:t>2: 241</w:t>
        </w:r>
      </w:hyperlink>
      <w:r w:rsidRPr="009E6216">
        <w:rPr>
          <w:rtl/>
        </w:rPr>
        <w:t>؛ (مسألة 33): لا يجوز سقي المسكرات للأطفال، بل يجب ردعهم، و كذا سائر الأعيان النجسة إذا كانت مضرّة لهم (5)، بل مطلقا، و أمّا المتنجّسات فإن كان التنجّس من جهة كون أيديهم نجسة فالظاهر عدم البأس به، و إن كان من جهة تنجّس سابق فالأقوى جواز التسبّب لأكلهم، و إن كان الأحوط تركه، و أمّا ردعهم عن الأكل أو الشرب مع عدم التسبّب فلا يجب من غير إشكال.</w:t>
      </w:r>
    </w:p>
  </w:footnote>
  <w:footnote w:id="11">
    <w:p w14:paraId="552EC72F" w14:textId="77777777" w:rsidR="00B7258C" w:rsidRDefault="00B7258C" w:rsidP="00B7258C">
      <w:pPr>
        <w:pStyle w:val="FootnoteText"/>
        <w:rPr>
          <w:rtl/>
        </w:rPr>
      </w:pPr>
      <w:r>
        <w:rPr>
          <w:rStyle w:val="FootnoteReference"/>
        </w:rPr>
        <w:footnoteRef/>
      </w:r>
      <w:r>
        <w:rPr>
          <w:rtl/>
        </w:rPr>
        <w:t xml:space="preserve"> </w:t>
      </w:r>
      <w:r>
        <w:rPr>
          <w:rFonts w:hint="cs"/>
          <w:rtl/>
        </w:rPr>
        <w:t>توضیح المسائل (امام و مراجع) 1: 97</w:t>
      </w:r>
    </w:p>
    <w:p w14:paraId="49BBAC1C" w14:textId="6C6CF811" w:rsidR="00B7258C" w:rsidRDefault="00077C83" w:rsidP="0003304F">
      <w:pPr>
        <w:pStyle w:val="FootnoteText"/>
        <w:rPr>
          <w:rtl/>
        </w:rPr>
      </w:pPr>
      <w:r>
        <w:rPr>
          <w:rFonts w:hint="cs"/>
          <w:rtl/>
        </w:rPr>
        <w:t xml:space="preserve">استاد حفظه الله: </w:t>
      </w:r>
      <w:r w:rsidR="00B7258C">
        <w:rPr>
          <w:rFonts w:hint="cs"/>
          <w:rtl/>
        </w:rPr>
        <w:t xml:space="preserve">البته در این موارد میزبان می تواند غذا را در آشپزخانه قرار دهد و  بیرون برود در اینجا مهمان اگر خودش غذا را خورد مستند به </w:t>
      </w:r>
      <w:r>
        <w:rPr>
          <w:rFonts w:hint="cs"/>
          <w:rtl/>
        </w:rPr>
        <w:t xml:space="preserve">میزبان </w:t>
      </w:r>
      <w:r w:rsidR="00B7258C">
        <w:rPr>
          <w:rFonts w:hint="cs"/>
          <w:rtl/>
        </w:rPr>
        <w:t>نیست. آقای خویی طبق مبانی خودشان راه دومی را پیشنهاد می کنند به این صورت که به مهمان بگوید که غذا نجس شده، اگر مهمان با وجود اطلاع از نجاست درخواست کرد که غذا به او داده شود تا بخورد، دیگر عمل میزبان، اعانت بر اثم است و تسبیب به حرام نیست. آقای خویی و آقای ایروانی و آقای سیستانی اعانت بر اثم را حرام نمی دانند. البته آقای سیستانی در موردی که اگر ما اعانت بر اثم نکنیم، شخص دیگر متمکن از اثم نمی شود را احتیاط واجب می کنند که اعانت بر اثم نشود. یا اگر مثلا خون تخم مرغ را شما حرام می دانید و او حلال می داند، بعد از اعلام به او می توانید آن تخم مرغ را در اختیار او قرار دهید</w:t>
      </w:r>
      <w:r w:rsidR="0003304F">
        <w:rPr>
          <w:rFonts w:hint="cs"/>
          <w:rtl/>
        </w:rPr>
        <w:t>؛</w:t>
      </w:r>
      <w:r w:rsidR="00B7258C">
        <w:rPr>
          <w:rFonts w:hint="cs"/>
          <w:rtl/>
        </w:rPr>
        <w:t xml:space="preserve"> اما بدون اعلام</w:t>
      </w:r>
      <w:r w:rsidR="0003304F">
        <w:rPr>
          <w:rFonts w:hint="cs"/>
          <w:rtl/>
        </w:rPr>
        <w:t>،</w:t>
      </w:r>
      <w:r w:rsidR="00B7258C">
        <w:rPr>
          <w:rFonts w:hint="cs"/>
          <w:rtl/>
        </w:rPr>
        <w:t xml:space="preserve"> تسبیب الی الحرام است.</w:t>
      </w:r>
    </w:p>
  </w:footnote>
  <w:footnote w:id="12">
    <w:p w14:paraId="3FC68983" w14:textId="77777777" w:rsidR="00B7258C" w:rsidRDefault="00B7258C" w:rsidP="00B7258C">
      <w:pPr>
        <w:pStyle w:val="FootnoteText"/>
        <w:rPr>
          <w:rtl/>
        </w:rPr>
      </w:pPr>
      <w:r>
        <w:rPr>
          <w:rStyle w:val="FootnoteReference"/>
        </w:rPr>
        <w:footnoteRef/>
      </w:r>
      <w:r>
        <w:rPr>
          <w:rtl/>
        </w:rPr>
        <w:t xml:space="preserve"> </w:t>
      </w:r>
      <w:r w:rsidRPr="00630186">
        <w:rPr>
          <w:rtl/>
        </w:rPr>
        <w:t>(5) المائدة :  2</w:t>
      </w:r>
    </w:p>
  </w:footnote>
  <w:footnote w:id="13">
    <w:p w14:paraId="3E962A2D" w14:textId="77777777" w:rsidR="00B7258C" w:rsidRDefault="00B7258C" w:rsidP="00B7258C">
      <w:pPr>
        <w:pStyle w:val="FootnoteText"/>
      </w:pPr>
      <w:r>
        <w:rPr>
          <w:rStyle w:val="FootnoteReference"/>
        </w:rPr>
        <w:footnoteRef/>
      </w:r>
      <w:r>
        <w:rPr>
          <w:rtl/>
        </w:rPr>
        <w:t xml:space="preserve"> </w:t>
      </w:r>
      <w:r w:rsidRPr="00630186">
        <w:rPr>
          <w:rtl/>
        </w:rPr>
        <w:t xml:space="preserve"> </w:t>
      </w:r>
      <w:hyperlink r:id="rId10" w:history="1">
        <w:r w:rsidRPr="001C7FBA">
          <w:rPr>
            <w:rStyle w:val="Hyperlink"/>
            <w:rtl/>
          </w:rPr>
          <w:t>وسائل الشيعة، ج‏16، ص:</w:t>
        </w:r>
      </w:hyperlink>
      <w:r w:rsidRPr="00630186">
        <w:rPr>
          <w:rtl/>
        </w:rPr>
        <w:t xml:space="preserve"> 55</w:t>
      </w:r>
    </w:p>
  </w:footnote>
  <w:footnote w:id="14">
    <w:p w14:paraId="21DCD40B" w14:textId="77777777" w:rsidR="00B7258C" w:rsidRDefault="00B7258C" w:rsidP="00B7258C">
      <w:pPr>
        <w:pStyle w:val="FootnoteText"/>
      </w:pPr>
      <w:r>
        <w:rPr>
          <w:rStyle w:val="FootnoteReference"/>
        </w:rPr>
        <w:footnoteRef/>
      </w:r>
      <w:r>
        <w:rPr>
          <w:rtl/>
        </w:rPr>
        <w:t xml:space="preserve"> </w:t>
      </w:r>
      <w:hyperlink r:id="rId11" w:history="1">
        <w:r w:rsidRPr="001C7FBA">
          <w:rPr>
            <w:rStyle w:val="Hyperlink"/>
            <w:rFonts w:hint="cs"/>
            <w:rtl/>
          </w:rPr>
          <w:t xml:space="preserve">العروة الوثقی و التعلیقات علیها </w:t>
        </w:r>
        <w:r w:rsidRPr="001C7FBA">
          <w:rPr>
            <w:rStyle w:val="Hyperlink"/>
            <w:rtl/>
          </w:rPr>
          <w:t xml:space="preserve">8: </w:t>
        </w:r>
        <w:r w:rsidRPr="001C7FBA">
          <w:rPr>
            <w:rStyle w:val="Hyperlink"/>
            <w:rFonts w:hint="cs"/>
            <w:rtl/>
          </w:rPr>
          <w:t>91</w:t>
        </w:r>
      </w:hyperlink>
    </w:p>
  </w:footnote>
  <w:footnote w:id="15">
    <w:p w14:paraId="2FBF7FB7" w14:textId="77777777" w:rsidR="00B7258C" w:rsidRDefault="00B7258C" w:rsidP="00B7258C">
      <w:pPr>
        <w:pStyle w:val="FootnoteText"/>
      </w:pPr>
      <w:r>
        <w:rPr>
          <w:rStyle w:val="FootnoteReference"/>
        </w:rPr>
        <w:footnoteRef/>
      </w:r>
      <w:r>
        <w:rPr>
          <w:rtl/>
        </w:rPr>
        <w:t xml:space="preserve"> </w:t>
      </w:r>
      <w:r w:rsidRPr="00A053EE">
        <w:rPr>
          <w:rtl/>
        </w:rPr>
        <w:t>النجم :  39</w:t>
      </w:r>
    </w:p>
  </w:footnote>
  <w:footnote w:id="16">
    <w:p w14:paraId="60936186" w14:textId="77777777" w:rsidR="00B7258C" w:rsidRDefault="00B7258C" w:rsidP="00B7258C">
      <w:pPr>
        <w:pStyle w:val="FootnoteText"/>
        <w:rPr>
          <w:rtl/>
        </w:rPr>
      </w:pPr>
      <w:r>
        <w:rPr>
          <w:rStyle w:val="FootnoteReference"/>
        </w:rPr>
        <w:footnoteRef/>
      </w:r>
      <w:r>
        <w:rPr>
          <w:rtl/>
        </w:rPr>
        <w:t xml:space="preserve"> </w:t>
      </w:r>
      <w:r>
        <w:rPr>
          <w:rFonts w:hint="cs"/>
          <w:rtl/>
        </w:rPr>
        <w:t>مختلف الشیعة 3: 530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5F6CE259">
              <wp:simplePos x="0" y="0"/>
              <wp:positionH relativeFrom="column">
                <wp:posOffset>-436245</wp:posOffset>
              </wp:positionH>
              <wp:positionV relativeFrom="paragraph">
                <wp:posOffset>-37393</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6794AA55" w:rsidR="00AA26D7" w:rsidRPr="00480985" w:rsidRDefault="00AA26D7" w:rsidP="00EC407D">
                          <w:pPr>
                            <w:jc w:val="center"/>
                            <w:rPr>
                              <w:rFonts w:cs="2  Mitra"/>
                              <w:b/>
                              <w:bCs/>
                              <w:sz w:val="24"/>
                              <w:szCs w:val="24"/>
                            </w:rPr>
                          </w:pPr>
                          <w:r w:rsidRPr="00480985">
                            <w:rPr>
                              <w:rFonts w:cs="2  Mitra"/>
                              <w:b/>
                              <w:bCs/>
                              <w:sz w:val="24"/>
                              <w:szCs w:val="24"/>
                              <w:rtl/>
                            </w:rPr>
                            <w:t>جلسه:</w:t>
                          </w:r>
                          <w:r w:rsidR="00077C83">
                            <w:rPr>
                              <w:rFonts w:cs="2  Mitra" w:hint="cs"/>
                              <w:b/>
                              <w:bCs/>
                              <w:sz w:val="24"/>
                              <w:szCs w:val="24"/>
                              <w:rtl/>
                            </w:rPr>
                            <w:t xml:space="preserve"> 58</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ED0D80">
                            <w:rPr>
                              <w:rFonts w:cs="2  Mitra" w:hint="cs"/>
                              <w:b/>
                              <w:bCs/>
                              <w:sz w:val="24"/>
                              <w:szCs w:val="24"/>
                              <w:rtl/>
                            </w:rPr>
                            <w:t>‌</w:t>
                          </w:r>
                          <w:r w:rsidR="00F821A8">
                            <w:rPr>
                              <w:rFonts w:cs="2  Mitra" w:hint="cs"/>
                              <w:b/>
                              <w:bCs/>
                              <w:sz w:val="24"/>
                              <w:szCs w:val="24"/>
                              <w:rtl/>
                            </w:rPr>
                            <w:t xml:space="preserve">شنبه </w:t>
                          </w:r>
                          <w:r w:rsidR="00B7258C">
                            <w:rPr>
                              <w:rFonts w:cs="2  Mitra" w:hint="cs"/>
                              <w:b/>
                              <w:bCs/>
                              <w:sz w:val="24"/>
                              <w:szCs w:val="24"/>
                              <w:rtl/>
                            </w:rPr>
                            <w:t>15</w:t>
                          </w:r>
                          <w:r w:rsidRPr="00480985">
                            <w:rPr>
                              <w:rFonts w:cs="2  Mitra"/>
                              <w:b/>
                              <w:bCs/>
                              <w:sz w:val="24"/>
                              <w:szCs w:val="24"/>
                              <w:rtl/>
                            </w:rPr>
                            <w:t>/</w:t>
                          </w:r>
                          <w:r w:rsidR="0058039B">
                            <w:rPr>
                              <w:rFonts w:cs="2  Mitra" w:hint="cs"/>
                              <w:b/>
                              <w:bCs/>
                              <w:sz w:val="24"/>
                              <w:szCs w:val="24"/>
                              <w:rtl/>
                            </w:rPr>
                            <w:t>9</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2.95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" fillcolor="white [3201]" strokecolor="black [3213]" strokeweight="2.25pt">
              <v:textbox>
                <w:txbxContent>
                  <w:p w14:paraId="3748492A" w14:textId="6794AA55" w:rsidR="00AA26D7" w:rsidRPr="00480985" w:rsidRDefault="00AA26D7" w:rsidP="00EC407D">
                    <w:pPr>
                      <w:jc w:val="center"/>
                      <w:rPr>
                        <w:rFonts w:cs="2  Mitra"/>
                        <w:b/>
                        <w:bCs/>
                        <w:sz w:val="24"/>
                        <w:szCs w:val="24"/>
                      </w:rPr>
                    </w:pPr>
                    <w:r w:rsidRPr="00480985">
                      <w:rPr>
                        <w:rFonts w:cs="2  Mitra"/>
                        <w:b/>
                        <w:bCs/>
                        <w:sz w:val="24"/>
                        <w:szCs w:val="24"/>
                        <w:rtl/>
                      </w:rPr>
                      <w:t>جلسه:</w:t>
                    </w:r>
                    <w:r w:rsidR="00077C83">
                      <w:rPr>
                        <w:rFonts w:cs="2  Mitra" w:hint="cs"/>
                        <w:b/>
                        <w:bCs/>
                        <w:sz w:val="24"/>
                        <w:szCs w:val="24"/>
                        <w:rtl/>
                      </w:rPr>
                      <w:t xml:space="preserve"> 58</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ED0D80">
                      <w:rPr>
                        <w:rFonts w:cs="2  Mitra" w:hint="cs"/>
                        <w:b/>
                        <w:bCs/>
                        <w:sz w:val="24"/>
                        <w:szCs w:val="24"/>
                        <w:rtl/>
                      </w:rPr>
                      <w:t>‌</w:t>
                    </w:r>
                    <w:r w:rsidR="00F821A8">
                      <w:rPr>
                        <w:rFonts w:cs="2  Mitra" w:hint="cs"/>
                        <w:b/>
                        <w:bCs/>
                        <w:sz w:val="24"/>
                        <w:szCs w:val="24"/>
                        <w:rtl/>
                      </w:rPr>
                      <w:t xml:space="preserve">شنبه </w:t>
                    </w:r>
                    <w:r w:rsidR="00B7258C">
                      <w:rPr>
                        <w:rFonts w:cs="2  Mitra" w:hint="cs"/>
                        <w:b/>
                        <w:bCs/>
                        <w:sz w:val="24"/>
                        <w:szCs w:val="24"/>
                        <w:rtl/>
                      </w:rPr>
                      <w:t>15</w:t>
                    </w:r>
                    <w:r w:rsidRPr="00480985">
                      <w:rPr>
                        <w:rFonts w:cs="2  Mitra"/>
                        <w:b/>
                        <w:bCs/>
                        <w:sz w:val="24"/>
                        <w:szCs w:val="24"/>
                        <w:rtl/>
                      </w:rPr>
                      <w:t>/</w:t>
                    </w:r>
                    <w:r w:rsidR="0058039B">
                      <w:rPr>
                        <w:rFonts w:cs="2  Mitra" w:hint="cs"/>
                        <w:b/>
                        <w:bCs/>
                        <w:sz w:val="24"/>
                        <w:szCs w:val="24"/>
                        <w:rtl/>
                      </w:rPr>
                      <w:t>9</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45775"/>
    <w:multiLevelType w:val="hybridMultilevel"/>
    <w:tmpl w:val="2DC095B0"/>
    <w:lvl w:ilvl="0" w:tplc="DEE81AF2">
      <w:numFmt w:val="bullet"/>
      <w:lvlText w:val=""/>
      <w:lvlJc w:val="left"/>
      <w:pPr>
        <w:ind w:left="720" w:hanging="360"/>
      </w:pPr>
      <w:rPr>
        <w:rFonts w:ascii="Symbol" w:eastAsia="NoorZar" w:hAnsi="Symbol"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6CA2"/>
    <w:rsid w:val="00007F36"/>
    <w:rsid w:val="00010881"/>
    <w:rsid w:val="00012D53"/>
    <w:rsid w:val="00013A99"/>
    <w:rsid w:val="00014285"/>
    <w:rsid w:val="0001430F"/>
    <w:rsid w:val="00014983"/>
    <w:rsid w:val="000160E1"/>
    <w:rsid w:val="000163F3"/>
    <w:rsid w:val="000175B3"/>
    <w:rsid w:val="000200D5"/>
    <w:rsid w:val="000217FE"/>
    <w:rsid w:val="0002323D"/>
    <w:rsid w:val="0002362B"/>
    <w:rsid w:val="00025BC2"/>
    <w:rsid w:val="00026838"/>
    <w:rsid w:val="00026F3B"/>
    <w:rsid w:val="000301A7"/>
    <w:rsid w:val="00030B2F"/>
    <w:rsid w:val="00031079"/>
    <w:rsid w:val="00031C4D"/>
    <w:rsid w:val="0003304F"/>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43F9"/>
    <w:rsid w:val="00056D91"/>
    <w:rsid w:val="0005701F"/>
    <w:rsid w:val="00057E80"/>
    <w:rsid w:val="000601BF"/>
    <w:rsid w:val="00060701"/>
    <w:rsid w:val="00060731"/>
    <w:rsid w:val="00061122"/>
    <w:rsid w:val="00061297"/>
    <w:rsid w:val="00062378"/>
    <w:rsid w:val="000633DC"/>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77C83"/>
    <w:rsid w:val="000811BE"/>
    <w:rsid w:val="0008172A"/>
    <w:rsid w:val="00082E11"/>
    <w:rsid w:val="00084495"/>
    <w:rsid w:val="00084A1B"/>
    <w:rsid w:val="0008529B"/>
    <w:rsid w:val="00085934"/>
    <w:rsid w:val="00087BED"/>
    <w:rsid w:val="000912E5"/>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24B"/>
    <w:rsid w:val="000D398B"/>
    <w:rsid w:val="000D48CD"/>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189E"/>
    <w:rsid w:val="001124C3"/>
    <w:rsid w:val="0011258B"/>
    <w:rsid w:val="001129F4"/>
    <w:rsid w:val="00113937"/>
    <w:rsid w:val="00113B2F"/>
    <w:rsid w:val="00114797"/>
    <w:rsid w:val="00116424"/>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510C"/>
    <w:rsid w:val="00157B2F"/>
    <w:rsid w:val="0016067F"/>
    <w:rsid w:val="001619D6"/>
    <w:rsid w:val="00163FD1"/>
    <w:rsid w:val="00164F44"/>
    <w:rsid w:val="00165BD0"/>
    <w:rsid w:val="00165CBB"/>
    <w:rsid w:val="00171F94"/>
    <w:rsid w:val="001733DC"/>
    <w:rsid w:val="00175655"/>
    <w:rsid w:val="00177A0F"/>
    <w:rsid w:val="00180418"/>
    <w:rsid w:val="001807A5"/>
    <w:rsid w:val="00181175"/>
    <w:rsid w:val="00181EF4"/>
    <w:rsid w:val="001834B3"/>
    <w:rsid w:val="00184465"/>
    <w:rsid w:val="00184682"/>
    <w:rsid w:val="00185137"/>
    <w:rsid w:val="0018641A"/>
    <w:rsid w:val="0018646A"/>
    <w:rsid w:val="00187C76"/>
    <w:rsid w:val="00187CD4"/>
    <w:rsid w:val="00190186"/>
    <w:rsid w:val="001921BD"/>
    <w:rsid w:val="001923F4"/>
    <w:rsid w:val="00193B37"/>
    <w:rsid w:val="00196125"/>
    <w:rsid w:val="00197075"/>
    <w:rsid w:val="0019715B"/>
    <w:rsid w:val="00197FAB"/>
    <w:rsid w:val="001A14EC"/>
    <w:rsid w:val="001A2F29"/>
    <w:rsid w:val="001A3A4E"/>
    <w:rsid w:val="001A446F"/>
    <w:rsid w:val="001A4A24"/>
    <w:rsid w:val="001B024D"/>
    <w:rsid w:val="001B1C26"/>
    <w:rsid w:val="001B2130"/>
    <w:rsid w:val="001B21A7"/>
    <w:rsid w:val="001B2643"/>
    <w:rsid w:val="001B2833"/>
    <w:rsid w:val="001B4F3A"/>
    <w:rsid w:val="001B7235"/>
    <w:rsid w:val="001C07FB"/>
    <w:rsid w:val="001C10CE"/>
    <w:rsid w:val="001C22E0"/>
    <w:rsid w:val="001C2DE4"/>
    <w:rsid w:val="001C3734"/>
    <w:rsid w:val="001C3B11"/>
    <w:rsid w:val="001C53C1"/>
    <w:rsid w:val="001C62A3"/>
    <w:rsid w:val="001C798A"/>
    <w:rsid w:val="001D0612"/>
    <w:rsid w:val="001D173D"/>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25AC"/>
    <w:rsid w:val="0023655A"/>
    <w:rsid w:val="00236B53"/>
    <w:rsid w:val="00237058"/>
    <w:rsid w:val="00240A55"/>
    <w:rsid w:val="00240A6A"/>
    <w:rsid w:val="00240EDD"/>
    <w:rsid w:val="002417A9"/>
    <w:rsid w:val="002422F4"/>
    <w:rsid w:val="00244601"/>
    <w:rsid w:val="00250587"/>
    <w:rsid w:val="00250652"/>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0FB8"/>
    <w:rsid w:val="002820F0"/>
    <w:rsid w:val="00282ACA"/>
    <w:rsid w:val="002836B3"/>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5E07"/>
    <w:rsid w:val="002A6157"/>
    <w:rsid w:val="002A6571"/>
    <w:rsid w:val="002A7243"/>
    <w:rsid w:val="002A7E5E"/>
    <w:rsid w:val="002B0553"/>
    <w:rsid w:val="002B0661"/>
    <w:rsid w:val="002B20CD"/>
    <w:rsid w:val="002B22E5"/>
    <w:rsid w:val="002B2DF7"/>
    <w:rsid w:val="002B39BF"/>
    <w:rsid w:val="002B4765"/>
    <w:rsid w:val="002B6570"/>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C7A4D"/>
    <w:rsid w:val="002D1057"/>
    <w:rsid w:val="002D118C"/>
    <w:rsid w:val="002D35C0"/>
    <w:rsid w:val="002D3621"/>
    <w:rsid w:val="002D51C1"/>
    <w:rsid w:val="002D60CE"/>
    <w:rsid w:val="002D6A70"/>
    <w:rsid w:val="002D7060"/>
    <w:rsid w:val="002D7934"/>
    <w:rsid w:val="002E0B61"/>
    <w:rsid w:val="002E10A5"/>
    <w:rsid w:val="002E1A0E"/>
    <w:rsid w:val="002E1D14"/>
    <w:rsid w:val="002E2E4D"/>
    <w:rsid w:val="002E4FED"/>
    <w:rsid w:val="002E51F4"/>
    <w:rsid w:val="002E683B"/>
    <w:rsid w:val="002E6AF3"/>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ECD"/>
    <w:rsid w:val="00371FFD"/>
    <w:rsid w:val="00372B96"/>
    <w:rsid w:val="00373127"/>
    <w:rsid w:val="00373DC0"/>
    <w:rsid w:val="003750CF"/>
    <w:rsid w:val="00375BAD"/>
    <w:rsid w:val="003760A9"/>
    <w:rsid w:val="0038150C"/>
    <w:rsid w:val="00382090"/>
    <w:rsid w:val="00382920"/>
    <w:rsid w:val="0038295F"/>
    <w:rsid w:val="00384A21"/>
    <w:rsid w:val="00386017"/>
    <w:rsid w:val="003868E6"/>
    <w:rsid w:val="0038700A"/>
    <w:rsid w:val="0039030C"/>
    <w:rsid w:val="00390B2D"/>
    <w:rsid w:val="003929C6"/>
    <w:rsid w:val="00392D07"/>
    <w:rsid w:val="003935D9"/>
    <w:rsid w:val="00393F69"/>
    <w:rsid w:val="003945C4"/>
    <w:rsid w:val="00395600"/>
    <w:rsid w:val="003964C3"/>
    <w:rsid w:val="00396634"/>
    <w:rsid w:val="00396932"/>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69F"/>
    <w:rsid w:val="00436F09"/>
    <w:rsid w:val="004370BD"/>
    <w:rsid w:val="00437D68"/>
    <w:rsid w:val="00437EAA"/>
    <w:rsid w:val="00440394"/>
    <w:rsid w:val="00442B89"/>
    <w:rsid w:val="00443A36"/>
    <w:rsid w:val="00444A81"/>
    <w:rsid w:val="004457CB"/>
    <w:rsid w:val="00446309"/>
    <w:rsid w:val="004464C0"/>
    <w:rsid w:val="004506B4"/>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393"/>
    <w:rsid w:val="004E5B72"/>
    <w:rsid w:val="004E5F70"/>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495E"/>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039B"/>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CB"/>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44A4"/>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616"/>
    <w:rsid w:val="00625AAB"/>
    <w:rsid w:val="006274B0"/>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7C2"/>
    <w:rsid w:val="00655F2D"/>
    <w:rsid w:val="00657E54"/>
    <w:rsid w:val="00660039"/>
    <w:rsid w:val="00661CEE"/>
    <w:rsid w:val="00662FD7"/>
    <w:rsid w:val="00664F54"/>
    <w:rsid w:val="006652B4"/>
    <w:rsid w:val="00665720"/>
    <w:rsid w:val="00665A70"/>
    <w:rsid w:val="00665E07"/>
    <w:rsid w:val="0066722D"/>
    <w:rsid w:val="00667805"/>
    <w:rsid w:val="00667931"/>
    <w:rsid w:val="00670C73"/>
    <w:rsid w:val="00671C98"/>
    <w:rsid w:val="0067373E"/>
    <w:rsid w:val="00673E76"/>
    <w:rsid w:val="00673F86"/>
    <w:rsid w:val="00674D4D"/>
    <w:rsid w:val="006752FF"/>
    <w:rsid w:val="006758DB"/>
    <w:rsid w:val="00675CF8"/>
    <w:rsid w:val="00676AE5"/>
    <w:rsid w:val="00676C6C"/>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546"/>
    <w:rsid w:val="006A0EC8"/>
    <w:rsid w:val="006A1793"/>
    <w:rsid w:val="006A4F4D"/>
    <w:rsid w:val="006A7215"/>
    <w:rsid w:val="006A7684"/>
    <w:rsid w:val="006A7DA6"/>
    <w:rsid w:val="006A7FCB"/>
    <w:rsid w:val="006B0C57"/>
    <w:rsid w:val="006B23B2"/>
    <w:rsid w:val="006B32BF"/>
    <w:rsid w:val="006B3584"/>
    <w:rsid w:val="006B5BDD"/>
    <w:rsid w:val="006B5F70"/>
    <w:rsid w:val="006B6603"/>
    <w:rsid w:val="006C31D2"/>
    <w:rsid w:val="006C3301"/>
    <w:rsid w:val="006C4588"/>
    <w:rsid w:val="006C4DFA"/>
    <w:rsid w:val="006C6A7D"/>
    <w:rsid w:val="006C7314"/>
    <w:rsid w:val="006C7432"/>
    <w:rsid w:val="006C7C85"/>
    <w:rsid w:val="006D0B77"/>
    <w:rsid w:val="006D23A5"/>
    <w:rsid w:val="006D2CD6"/>
    <w:rsid w:val="006D31AB"/>
    <w:rsid w:val="006D3CC6"/>
    <w:rsid w:val="006D3D09"/>
    <w:rsid w:val="006D42C5"/>
    <w:rsid w:val="006D491A"/>
    <w:rsid w:val="006D78DF"/>
    <w:rsid w:val="006E01FD"/>
    <w:rsid w:val="006E0DAE"/>
    <w:rsid w:val="006E105E"/>
    <w:rsid w:val="006E12B5"/>
    <w:rsid w:val="006E1A7D"/>
    <w:rsid w:val="006E30FC"/>
    <w:rsid w:val="006E3559"/>
    <w:rsid w:val="006E3734"/>
    <w:rsid w:val="006E3E2C"/>
    <w:rsid w:val="006E4061"/>
    <w:rsid w:val="006E4AB8"/>
    <w:rsid w:val="006E4CB0"/>
    <w:rsid w:val="006E5443"/>
    <w:rsid w:val="006E5E5D"/>
    <w:rsid w:val="006E6254"/>
    <w:rsid w:val="006E6F75"/>
    <w:rsid w:val="006F13EE"/>
    <w:rsid w:val="006F336C"/>
    <w:rsid w:val="006F58B0"/>
    <w:rsid w:val="006F5D9B"/>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013"/>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DBF"/>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2A4D"/>
    <w:rsid w:val="007E3E1F"/>
    <w:rsid w:val="007E3F5B"/>
    <w:rsid w:val="007E4ABE"/>
    <w:rsid w:val="007E4FE4"/>
    <w:rsid w:val="007E5B95"/>
    <w:rsid w:val="007E6418"/>
    <w:rsid w:val="007E73B5"/>
    <w:rsid w:val="007E7604"/>
    <w:rsid w:val="007F0389"/>
    <w:rsid w:val="007F0506"/>
    <w:rsid w:val="007F1693"/>
    <w:rsid w:val="007F1C1B"/>
    <w:rsid w:val="007F239A"/>
    <w:rsid w:val="007F334C"/>
    <w:rsid w:val="007F39A0"/>
    <w:rsid w:val="007F3EC2"/>
    <w:rsid w:val="007F5224"/>
    <w:rsid w:val="007F5F16"/>
    <w:rsid w:val="007F6B4E"/>
    <w:rsid w:val="007F6C59"/>
    <w:rsid w:val="007F718F"/>
    <w:rsid w:val="007F7E69"/>
    <w:rsid w:val="00801230"/>
    <w:rsid w:val="00801AAA"/>
    <w:rsid w:val="00802569"/>
    <w:rsid w:val="00802B62"/>
    <w:rsid w:val="00804547"/>
    <w:rsid w:val="00804885"/>
    <w:rsid w:val="00805FC0"/>
    <w:rsid w:val="0080635D"/>
    <w:rsid w:val="0080692B"/>
    <w:rsid w:val="00807342"/>
    <w:rsid w:val="008103B4"/>
    <w:rsid w:val="00810846"/>
    <w:rsid w:val="0081179D"/>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4C23"/>
    <w:rsid w:val="00825620"/>
    <w:rsid w:val="00825650"/>
    <w:rsid w:val="00825B6E"/>
    <w:rsid w:val="0082673F"/>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328"/>
    <w:rsid w:val="00857F4B"/>
    <w:rsid w:val="0086110F"/>
    <w:rsid w:val="008612FE"/>
    <w:rsid w:val="00861758"/>
    <w:rsid w:val="00862483"/>
    <w:rsid w:val="00862896"/>
    <w:rsid w:val="008672AD"/>
    <w:rsid w:val="00867CAF"/>
    <w:rsid w:val="00870141"/>
    <w:rsid w:val="00871FDA"/>
    <w:rsid w:val="00873FB9"/>
    <w:rsid w:val="00874631"/>
    <w:rsid w:val="00880F9A"/>
    <w:rsid w:val="008811BC"/>
    <w:rsid w:val="00881D8B"/>
    <w:rsid w:val="0088298C"/>
    <w:rsid w:val="008832EF"/>
    <w:rsid w:val="00883318"/>
    <w:rsid w:val="00884DB5"/>
    <w:rsid w:val="008855FB"/>
    <w:rsid w:val="00885D93"/>
    <w:rsid w:val="00886EAE"/>
    <w:rsid w:val="00887BFE"/>
    <w:rsid w:val="008907D9"/>
    <w:rsid w:val="00890A61"/>
    <w:rsid w:val="00890B19"/>
    <w:rsid w:val="00891C94"/>
    <w:rsid w:val="00891EE2"/>
    <w:rsid w:val="00895430"/>
    <w:rsid w:val="00895AE2"/>
    <w:rsid w:val="0089676F"/>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C7883"/>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0F92"/>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16FA"/>
    <w:rsid w:val="00992668"/>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2620"/>
    <w:rsid w:val="009C54E1"/>
    <w:rsid w:val="009C58AA"/>
    <w:rsid w:val="009C6102"/>
    <w:rsid w:val="009D0533"/>
    <w:rsid w:val="009D0A65"/>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181"/>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4C8D"/>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3061"/>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4F11"/>
    <w:rsid w:val="00A86DBC"/>
    <w:rsid w:val="00A91888"/>
    <w:rsid w:val="00A9402A"/>
    <w:rsid w:val="00A9592B"/>
    <w:rsid w:val="00A95B6A"/>
    <w:rsid w:val="00A96F22"/>
    <w:rsid w:val="00AA0183"/>
    <w:rsid w:val="00AA0E26"/>
    <w:rsid w:val="00AA11CA"/>
    <w:rsid w:val="00AA1A03"/>
    <w:rsid w:val="00AA26D7"/>
    <w:rsid w:val="00AA3500"/>
    <w:rsid w:val="00AA465D"/>
    <w:rsid w:val="00AA5078"/>
    <w:rsid w:val="00AA6080"/>
    <w:rsid w:val="00AA6B42"/>
    <w:rsid w:val="00AB01F8"/>
    <w:rsid w:val="00AB109D"/>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6BB9"/>
    <w:rsid w:val="00AD76DD"/>
    <w:rsid w:val="00AE02A0"/>
    <w:rsid w:val="00AE1565"/>
    <w:rsid w:val="00AE1691"/>
    <w:rsid w:val="00AE275E"/>
    <w:rsid w:val="00AE446C"/>
    <w:rsid w:val="00AE48A3"/>
    <w:rsid w:val="00AE5448"/>
    <w:rsid w:val="00AE6DD3"/>
    <w:rsid w:val="00AE7868"/>
    <w:rsid w:val="00AF3509"/>
    <w:rsid w:val="00AF5D06"/>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3FA"/>
    <w:rsid w:val="00B20594"/>
    <w:rsid w:val="00B2171A"/>
    <w:rsid w:val="00B21D84"/>
    <w:rsid w:val="00B225DF"/>
    <w:rsid w:val="00B2273B"/>
    <w:rsid w:val="00B2286A"/>
    <w:rsid w:val="00B22F34"/>
    <w:rsid w:val="00B25823"/>
    <w:rsid w:val="00B25CAB"/>
    <w:rsid w:val="00B25F1B"/>
    <w:rsid w:val="00B2738B"/>
    <w:rsid w:val="00B305A0"/>
    <w:rsid w:val="00B30B78"/>
    <w:rsid w:val="00B31523"/>
    <w:rsid w:val="00B323DE"/>
    <w:rsid w:val="00B32CCD"/>
    <w:rsid w:val="00B33A9C"/>
    <w:rsid w:val="00B34335"/>
    <w:rsid w:val="00B35631"/>
    <w:rsid w:val="00B36ED1"/>
    <w:rsid w:val="00B40F54"/>
    <w:rsid w:val="00B42379"/>
    <w:rsid w:val="00B43E9B"/>
    <w:rsid w:val="00B44554"/>
    <w:rsid w:val="00B4544B"/>
    <w:rsid w:val="00B45CEF"/>
    <w:rsid w:val="00B45DBE"/>
    <w:rsid w:val="00B47969"/>
    <w:rsid w:val="00B5005B"/>
    <w:rsid w:val="00B50523"/>
    <w:rsid w:val="00B50CEB"/>
    <w:rsid w:val="00B50D85"/>
    <w:rsid w:val="00B50E1B"/>
    <w:rsid w:val="00B517B7"/>
    <w:rsid w:val="00B53279"/>
    <w:rsid w:val="00B538D6"/>
    <w:rsid w:val="00B53B7D"/>
    <w:rsid w:val="00B5557A"/>
    <w:rsid w:val="00B55C35"/>
    <w:rsid w:val="00B55EAD"/>
    <w:rsid w:val="00B576DF"/>
    <w:rsid w:val="00B57A37"/>
    <w:rsid w:val="00B57B40"/>
    <w:rsid w:val="00B600B2"/>
    <w:rsid w:val="00B6193A"/>
    <w:rsid w:val="00B619B9"/>
    <w:rsid w:val="00B62B09"/>
    <w:rsid w:val="00B63A48"/>
    <w:rsid w:val="00B64D64"/>
    <w:rsid w:val="00B655CC"/>
    <w:rsid w:val="00B66EED"/>
    <w:rsid w:val="00B6719E"/>
    <w:rsid w:val="00B70A49"/>
    <w:rsid w:val="00B7258C"/>
    <w:rsid w:val="00B72EEA"/>
    <w:rsid w:val="00B75354"/>
    <w:rsid w:val="00B75783"/>
    <w:rsid w:val="00B75B29"/>
    <w:rsid w:val="00B77012"/>
    <w:rsid w:val="00B77696"/>
    <w:rsid w:val="00B776BD"/>
    <w:rsid w:val="00B80220"/>
    <w:rsid w:val="00B802A2"/>
    <w:rsid w:val="00B80454"/>
    <w:rsid w:val="00B8065D"/>
    <w:rsid w:val="00B80678"/>
    <w:rsid w:val="00B811D2"/>
    <w:rsid w:val="00B81C8E"/>
    <w:rsid w:val="00B81DB2"/>
    <w:rsid w:val="00B84750"/>
    <w:rsid w:val="00B85D98"/>
    <w:rsid w:val="00B8633D"/>
    <w:rsid w:val="00B8790D"/>
    <w:rsid w:val="00B90B4E"/>
    <w:rsid w:val="00BA20D5"/>
    <w:rsid w:val="00BA218E"/>
    <w:rsid w:val="00BA2A36"/>
    <w:rsid w:val="00BA2C65"/>
    <w:rsid w:val="00BA3793"/>
    <w:rsid w:val="00BA59F8"/>
    <w:rsid w:val="00BA6E8F"/>
    <w:rsid w:val="00BB0CBA"/>
    <w:rsid w:val="00BB2935"/>
    <w:rsid w:val="00BB354B"/>
    <w:rsid w:val="00BB5F19"/>
    <w:rsid w:val="00BB6825"/>
    <w:rsid w:val="00BC0F67"/>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1F6C"/>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20F"/>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5202"/>
    <w:rsid w:val="00C660E2"/>
    <w:rsid w:val="00C66208"/>
    <w:rsid w:val="00C664DA"/>
    <w:rsid w:val="00C674C3"/>
    <w:rsid w:val="00C7010F"/>
    <w:rsid w:val="00C70E93"/>
    <w:rsid w:val="00C7214D"/>
    <w:rsid w:val="00C72637"/>
    <w:rsid w:val="00C739D2"/>
    <w:rsid w:val="00C75396"/>
    <w:rsid w:val="00C76491"/>
    <w:rsid w:val="00C77CDD"/>
    <w:rsid w:val="00C802A8"/>
    <w:rsid w:val="00C803A2"/>
    <w:rsid w:val="00C82CB1"/>
    <w:rsid w:val="00C84AF4"/>
    <w:rsid w:val="00C85227"/>
    <w:rsid w:val="00C8713B"/>
    <w:rsid w:val="00C87C95"/>
    <w:rsid w:val="00C90610"/>
    <w:rsid w:val="00C910A1"/>
    <w:rsid w:val="00C917F7"/>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AE2"/>
    <w:rsid w:val="00CE7C8D"/>
    <w:rsid w:val="00CF007F"/>
    <w:rsid w:val="00CF06FB"/>
    <w:rsid w:val="00CF12F5"/>
    <w:rsid w:val="00CF2093"/>
    <w:rsid w:val="00CF7A7B"/>
    <w:rsid w:val="00D00376"/>
    <w:rsid w:val="00D01815"/>
    <w:rsid w:val="00D01824"/>
    <w:rsid w:val="00D018F1"/>
    <w:rsid w:val="00D01F5C"/>
    <w:rsid w:val="00D0472E"/>
    <w:rsid w:val="00D04DE0"/>
    <w:rsid w:val="00D06295"/>
    <w:rsid w:val="00D07A65"/>
    <w:rsid w:val="00D10692"/>
    <w:rsid w:val="00D10C31"/>
    <w:rsid w:val="00D1110F"/>
    <w:rsid w:val="00D128FC"/>
    <w:rsid w:val="00D157FA"/>
    <w:rsid w:val="00D159C6"/>
    <w:rsid w:val="00D16B06"/>
    <w:rsid w:val="00D174D0"/>
    <w:rsid w:val="00D17A2B"/>
    <w:rsid w:val="00D17D7D"/>
    <w:rsid w:val="00D2124C"/>
    <w:rsid w:val="00D22025"/>
    <w:rsid w:val="00D2231E"/>
    <w:rsid w:val="00D224D6"/>
    <w:rsid w:val="00D23D9F"/>
    <w:rsid w:val="00D2498F"/>
    <w:rsid w:val="00D3025D"/>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08"/>
    <w:rsid w:val="00D530E0"/>
    <w:rsid w:val="00D538A5"/>
    <w:rsid w:val="00D53C3D"/>
    <w:rsid w:val="00D54194"/>
    <w:rsid w:val="00D54BF5"/>
    <w:rsid w:val="00D57175"/>
    <w:rsid w:val="00D57946"/>
    <w:rsid w:val="00D57D0E"/>
    <w:rsid w:val="00D60952"/>
    <w:rsid w:val="00D61098"/>
    <w:rsid w:val="00D617A5"/>
    <w:rsid w:val="00D62F08"/>
    <w:rsid w:val="00D632CA"/>
    <w:rsid w:val="00D63D74"/>
    <w:rsid w:val="00D65988"/>
    <w:rsid w:val="00D65E5A"/>
    <w:rsid w:val="00D6671C"/>
    <w:rsid w:val="00D66935"/>
    <w:rsid w:val="00D70DAC"/>
    <w:rsid w:val="00D70F64"/>
    <w:rsid w:val="00D718F1"/>
    <w:rsid w:val="00D718F3"/>
    <w:rsid w:val="00D71AFD"/>
    <w:rsid w:val="00D73C9A"/>
    <w:rsid w:val="00D746AB"/>
    <w:rsid w:val="00D7707E"/>
    <w:rsid w:val="00D77BF9"/>
    <w:rsid w:val="00D80004"/>
    <w:rsid w:val="00D80183"/>
    <w:rsid w:val="00D8062D"/>
    <w:rsid w:val="00D8118F"/>
    <w:rsid w:val="00D81734"/>
    <w:rsid w:val="00D826A8"/>
    <w:rsid w:val="00D83C80"/>
    <w:rsid w:val="00D8407B"/>
    <w:rsid w:val="00D8505B"/>
    <w:rsid w:val="00D8527F"/>
    <w:rsid w:val="00D859FC"/>
    <w:rsid w:val="00D867AF"/>
    <w:rsid w:val="00D86B81"/>
    <w:rsid w:val="00D86EB8"/>
    <w:rsid w:val="00D87CE3"/>
    <w:rsid w:val="00D91779"/>
    <w:rsid w:val="00D92F8E"/>
    <w:rsid w:val="00D94D0A"/>
    <w:rsid w:val="00D9514E"/>
    <w:rsid w:val="00D95881"/>
    <w:rsid w:val="00D960DE"/>
    <w:rsid w:val="00D966E7"/>
    <w:rsid w:val="00DA0390"/>
    <w:rsid w:val="00DA0A19"/>
    <w:rsid w:val="00DA0B38"/>
    <w:rsid w:val="00DA0F05"/>
    <w:rsid w:val="00DA25B1"/>
    <w:rsid w:val="00DA4701"/>
    <w:rsid w:val="00DA4ABD"/>
    <w:rsid w:val="00DA5529"/>
    <w:rsid w:val="00DA6053"/>
    <w:rsid w:val="00DA620F"/>
    <w:rsid w:val="00DA6601"/>
    <w:rsid w:val="00DA68AF"/>
    <w:rsid w:val="00DB09AB"/>
    <w:rsid w:val="00DB0DC4"/>
    <w:rsid w:val="00DB2024"/>
    <w:rsid w:val="00DB28F1"/>
    <w:rsid w:val="00DB2B0A"/>
    <w:rsid w:val="00DB4436"/>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29A"/>
    <w:rsid w:val="00DD3909"/>
    <w:rsid w:val="00DD48BA"/>
    <w:rsid w:val="00DE0619"/>
    <w:rsid w:val="00DE18E8"/>
    <w:rsid w:val="00DE20E9"/>
    <w:rsid w:val="00DE2A64"/>
    <w:rsid w:val="00DE3B55"/>
    <w:rsid w:val="00DE5B97"/>
    <w:rsid w:val="00DE5CF4"/>
    <w:rsid w:val="00DE5FCF"/>
    <w:rsid w:val="00DE5FEC"/>
    <w:rsid w:val="00DE65C0"/>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635"/>
    <w:rsid w:val="00E26B7B"/>
    <w:rsid w:val="00E26EFA"/>
    <w:rsid w:val="00E3286B"/>
    <w:rsid w:val="00E33239"/>
    <w:rsid w:val="00E3598A"/>
    <w:rsid w:val="00E362AD"/>
    <w:rsid w:val="00E36CD4"/>
    <w:rsid w:val="00E40562"/>
    <w:rsid w:val="00E4115A"/>
    <w:rsid w:val="00E42627"/>
    <w:rsid w:val="00E43105"/>
    <w:rsid w:val="00E44222"/>
    <w:rsid w:val="00E45810"/>
    <w:rsid w:val="00E46891"/>
    <w:rsid w:val="00E50266"/>
    <w:rsid w:val="00E507E6"/>
    <w:rsid w:val="00E50DA4"/>
    <w:rsid w:val="00E50F37"/>
    <w:rsid w:val="00E528A2"/>
    <w:rsid w:val="00E53014"/>
    <w:rsid w:val="00E53A33"/>
    <w:rsid w:val="00E53F36"/>
    <w:rsid w:val="00E5426E"/>
    <w:rsid w:val="00E55039"/>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602"/>
    <w:rsid w:val="00E7071D"/>
    <w:rsid w:val="00E70851"/>
    <w:rsid w:val="00E70D3A"/>
    <w:rsid w:val="00E70EB6"/>
    <w:rsid w:val="00E72CBD"/>
    <w:rsid w:val="00E739F6"/>
    <w:rsid w:val="00E74BC8"/>
    <w:rsid w:val="00E74FFF"/>
    <w:rsid w:val="00E77AA0"/>
    <w:rsid w:val="00E80F38"/>
    <w:rsid w:val="00E8143A"/>
    <w:rsid w:val="00E8178D"/>
    <w:rsid w:val="00E836B5"/>
    <w:rsid w:val="00E84DC2"/>
    <w:rsid w:val="00E84E44"/>
    <w:rsid w:val="00E85336"/>
    <w:rsid w:val="00E866ED"/>
    <w:rsid w:val="00E87467"/>
    <w:rsid w:val="00E90CBC"/>
    <w:rsid w:val="00E91430"/>
    <w:rsid w:val="00E91BF2"/>
    <w:rsid w:val="00E922AE"/>
    <w:rsid w:val="00E92424"/>
    <w:rsid w:val="00E9440F"/>
    <w:rsid w:val="00E95313"/>
    <w:rsid w:val="00E95A44"/>
    <w:rsid w:val="00E95D27"/>
    <w:rsid w:val="00E9648C"/>
    <w:rsid w:val="00EA0117"/>
    <w:rsid w:val="00EA05B0"/>
    <w:rsid w:val="00EA1085"/>
    <w:rsid w:val="00EA10E7"/>
    <w:rsid w:val="00EA1727"/>
    <w:rsid w:val="00EA1CB3"/>
    <w:rsid w:val="00EA1DD2"/>
    <w:rsid w:val="00EA2A02"/>
    <w:rsid w:val="00EA3EB3"/>
    <w:rsid w:val="00EA4B21"/>
    <w:rsid w:val="00EA4C95"/>
    <w:rsid w:val="00EA547B"/>
    <w:rsid w:val="00EA64E4"/>
    <w:rsid w:val="00EA689A"/>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0D80"/>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47E8"/>
    <w:rsid w:val="00EF5BEB"/>
    <w:rsid w:val="00EF5EAA"/>
    <w:rsid w:val="00EF6166"/>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6DFF"/>
    <w:rsid w:val="00F176D6"/>
    <w:rsid w:val="00F20B97"/>
    <w:rsid w:val="00F216AB"/>
    <w:rsid w:val="00F22177"/>
    <w:rsid w:val="00F23729"/>
    <w:rsid w:val="00F24E8B"/>
    <w:rsid w:val="00F253AA"/>
    <w:rsid w:val="00F25759"/>
    <w:rsid w:val="00F2626A"/>
    <w:rsid w:val="00F26BF0"/>
    <w:rsid w:val="00F27583"/>
    <w:rsid w:val="00F31884"/>
    <w:rsid w:val="00F324D1"/>
    <w:rsid w:val="00F34CDC"/>
    <w:rsid w:val="00F35D20"/>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55E51"/>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21A8"/>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071C"/>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3B4E"/>
    <w:rsid w:val="00FC3F9A"/>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qFormat/>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15/141" TargetMode="External"/><Relationship Id="rId3" Type="http://schemas.openxmlformats.org/officeDocument/2006/relationships/hyperlink" Target="https://lib.eshia.ir/13514/8/88" TargetMode="External"/><Relationship Id="rId7" Type="http://schemas.openxmlformats.org/officeDocument/2006/relationships/hyperlink" Target="https://lib.eshia.ir/13514/8/88" TargetMode="External"/><Relationship Id="rId2" Type="http://schemas.openxmlformats.org/officeDocument/2006/relationships/hyperlink" Target="https://lib.eshia.ir/71334/3/312" TargetMode="External"/><Relationship Id="rId1" Type="http://schemas.openxmlformats.org/officeDocument/2006/relationships/hyperlink" Target="https://lib.eshia.ir/13514/8/88" TargetMode="External"/><Relationship Id="rId6" Type="http://schemas.openxmlformats.org/officeDocument/2006/relationships/hyperlink" Target="https://lib.eshia.ir/71334/16/195" TargetMode="External"/><Relationship Id="rId11" Type="http://schemas.openxmlformats.org/officeDocument/2006/relationships/hyperlink" Target="https://lib.eshia.ir/13514/8/91" TargetMode="External"/><Relationship Id="rId5" Type="http://schemas.openxmlformats.org/officeDocument/2006/relationships/hyperlink" Target="https://lib.eshia.ir/13514/8/88" TargetMode="External"/><Relationship Id="rId10" Type="http://schemas.openxmlformats.org/officeDocument/2006/relationships/hyperlink" Target="https://lib.eshia.ir/11025/16/55" TargetMode="External"/><Relationship Id="rId4" Type="http://schemas.openxmlformats.org/officeDocument/2006/relationships/hyperlink" Target="https://lib.eshia.ir/11025/4/20" TargetMode="External"/><Relationship Id="rId9" Type="http://schemas.openxmlformats.org/officeDocument/2006/relationships/hyperlink" Target="https://lib.eshia.ir/13514/2/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D70CE-BD59-4732-B132-6D064094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1290</Words>
  <Characters>7354</Characters>
  <Application>Microsoft Office Word</Application>
  <DocSecurity>0</DocSecurity>
  <Lines>61</Lines>
  <Paragraphs>17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3</cp:revision>
  <cp:lastPrinted>2024-09-24T22:20:00Z</cp:lastPrinted>
  <dcterms:created xsi:type="dcterms:W3CDTF">2026-01-03T05:23:00Z</dcterms:created>
  <dcterms:modified xsi:type="dcterms:W3CDTF">2026-01-04T04:27:00Z</dcterms:modified>
</cp:coreProperties>
</file>