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NoorLotus" w:eastAsiaTheme="minorHAnsi" w:hAnsi="NoorLotus"/>
          <w:b w:val="0"/>
          <w:bCs w:val="0"/>
          <w:sz w:val="22"/>
          <w:rtl/>
          <w:lang w:eastAsia="en-US" w:bidi="fa-IR"/>
        </w:rPr>
        <w:id w:val="-1231220687"/>
        <w:docPartObj>
          <w:docPartGallery w:val="Table of Contents"/>
          <w:docPartUnique/>
        </w:docPartObj>
      </w:sdtPr>
      <w:sdtEndPr/>
      <w:sdtContent>
        <w:p w14:paraId="084B0C92" w14:textId="1479D8B8" w:rsidR="003B4B10" w:rsidRPr="007711F6" w:rsidRDefault="003B4B10" w:rsidP="005D5AE5">
          <w:pPr>
            <w:pStyle w:val="TOCHeading"/>
            <w:bidi/>
            <w:jc w:val="both"/>
            <w:rPr>
              <w:rFonts w:ascii="NoorLotus" w:hAnsi="NoorLotus"/>
            </w:rPr>
          </w:pPr>
          <w:r w:rsidRPr="007711F6">
            <w:rPr>
              <w:rFonts w:ascii="NoorLotus" w:hAnsi="NoorLotus"/>
            </w:rPr>
            <w:t>Contents</w:t>
          </w:r>
        </w:p>
        <w:p w14:paraId="226C64E5" w14:textId="77777777" w:rsidR="005D5AE5" w:rsidRPr="005D5AE5" w:rsidRDefault="003B4B10" w:rsidP="005D5AE5">
          <w:pPr>
            <w:pStyle w:val="TOC1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 w:val="28"/>
            </w:rPr>
          </w:pPr>
          <w:r w:rsidRPr="007711F6">
            <w:rPr>
              <w:rFonts w:ascii="NoorLotus" w:hAnsi="NoorLotus" w:cs="NoorLotus"/>
            </w:rPr>
            <w:fldChar w:fldCharType="begin"/>
          </w:r>
          <w:r w:rsidRPr="007711F6">
            <w:rPr>
              <w:rFonts w:ascii="NoorLotus" w:hAnsi="NoorLotus" w:cs="NoorLotus"/>
            </w:rPr>
            <w:instrText xml:space="preserve"> TOC \o "1-3" \h \z \u </w:instrText>
          </w:r>
          <w:r w:rsidRPr="007711F6">
            <w:rPr>
              <w:rFonts w:ascii="NoorLotus" w:hAnsi="NoorLotus" w:cs="NoorLotus"/>
            </w:rPr>
            <w:fldChar w:fldCharType="separate"/>
          </w:r>
          <w:bookmarkStart w:id="0" w:name="_GoBack"/>
          <w:r w:rsidR="005D5AE5" w:rsidRPr="005D5AE5">
            <w:rPr>
              <w:rStyle w:val="Hyperlink"/>
              <w:rFonts w:ascii="NoorLotus" w:hAnsi="NoorLotus" w:cs="NoorLotus"/>
              <w:noProof/>
              <w:sz w:val="28"/>
              <w:rtl/>
            </w:rPr>
            <w:fldChar w:fldCharType="begin"/>
          </w:r>
          <w:r w:rsidR="005D5AE5" w:rsidRPr="005D5AE5">
            <w:rPr>
              <w:rStyle w:val="Hyperlink"/>
              <w:rFonts w:ascii="NoorLotus" w:hAnsi="NoorLotus" w:cs="NoorLotus"/>
              <w:noProof/>
              <w:sz w:val="28"/>
            </w:rPr>
            <w:instrText xml:space="preserve"> </w:instrText>
          </w:r>
          <w:r w:rsidR="005D5AE5" w:rsidRPr="005D5AE5">
            <w:rPr>
              <w:rFonts w:ascii="NoorLotus" w:hAnsi="NoorLotus" w:cs="NoorLotus"/>
              <w:noProof/>
              <w:sz w:val="28"/>
            </w:rPr>
            <w:instrText>HYPERLINK \l "_Toc185945719"</w:instrText>
          </w:r>
          <w:r w:rsidR="005D5AE5" w:rsidRPr="005D5AE5">
            <w:rPr>
              <w:rStyle w:val="Hyperlink"/>
              <w:rFonts w:ascii="NoorLotus" w:hAnsi="NoorLotus" w:cs="NoorLotus"/>
              <w:noProof/>
              <w:sz w:val="28"/>
            </w:rPr>
            <w:instrText xml:space="preserve"> </w:instrText>
          </w:r>
          <w:r w:rsidR="005D5AE5" w:rsidRPr="005D5AE5">
            <w:rPr>
              <w:rStyle w:val="Hyperlink"/>
              <w:rFonts w:ascii="NoorLotus" w:hAnsi="NoorLotus" w:cs="NoorLotus"/>
              <w:noProof/>
              <w:sz w:val="28"/>
              <w:rtl/>
            </w:rPr>
          </w:r>
          <w:r w:rsidR="005D5AE5" w:rsidRPr="005D5AE5">
            <w:rPr>
              <w:rStyle w:val="Hyperlink"/>
              <w:rFonts w:ascii="NoorLotus" w:hAnsi="NoorLotus" w:cs="NoorLotus"/>
              <w:noProof/>
              <w:sz w:val="28"/>
              <w:rtl/>
            </w:rPr>
            <w:fldChar w:fldCharType="separate"/>
          </w:r>
          <w:r w:rsidR="005D5AE5" w:rsidRPr="005D5AE5">
            <w:rPr>
              <w:rStyle w:val="Hyperlink"/>
              <w:rFonts w:ascii="NoorLotus" w:hAnsi="NoorLotus" w:cs="NoorLotus"/>
              <w:noProof/>
              <w:sz w:val="28"/>
              <w:rtl/>
            </w:rPr>
            <w:t>ادامه بررسی نسبت بین ادله‌ی برائت با ادله‌ی وجوب احتیاط</w:t>
          </w:r>
          <w:r w:rsidR="005D5AE5" w:rsidRPr="005D5AE5">
            <w:rPr>
              <w:rFonts w:ascii="NoorLotus" w:hAnsi="NoorLotus" w:cs="NoorLotus"/>
              <w:noProof/>
              <w:webHidden/>
              <w:sz w:val="28"/>
            </w:rPr>
            <w:tab/>
          </w:r>
          <w:r w:rsidR="005D5AE5" w:rsidRPr="005D5AE5">
            <w:rPr>
              <w:rStyle w:val="Hyperlink"/>
              <w:rFonts w:ascii="NoorLotus" w:hAnsi="NoorLotus" w:cs="NoorLotus"/>
              <w:noProof/>
              <w:sz w:val="28"/>
              <w:rtl/>
            </w:rPr>
            <w:fldChar w:fldCharType="begin"/>
          </w:r>
          <w:r w:rsidR="005D5AE5" w:rsidRPr="005D5AE5">
            <w:rPr>
              <w:rFonts w:ascii="NoorLotus" w:hAnsi="NoorLotus" w:cs="NoorLotus"/>
              <w:noProof/>
              <w:webHidden/>
              <w:sz w:val="28"/>
            </w:rPr>
            <w:instrText xml:space="preserve"> PAGEREF _Toc185945719 \h </w:instrText>
          </w:r>
          <w:r w:rsidR="005D5AE5" w:rsidRPr="005D5AE5">
            <w:rPr>
              <w:rStyle w:val="Hyperlink"/>
              <w:rFonts w:ascii="NoorLotus" w:hAnsi="NoorLotus" w:cs="NoorLotus"/>
              <w:noProof/>
              <w:sz w:val="28"/>
              <w:rtl/>
            </w:rPr>
          </w:r>
          <w:r w:rsidR="005D5AE5" w:rsidRPr="005D5AE5">
            <w:rPr>
              <w:rStyle w:val="Hyperlink"/>
              <w:rFonts w:ascii="NoorLotus" w:hAnsi="NoorLotus" w:cs="NoorLotus"/>
              <w:noProof/>
              <w:sz w:val="28"/>
              <w:rtl/>
            </w:rPr>
            <w:fldChar w:fldCharType="separate"/>
          </w:r>
          <w:r w:rsidR="005D5AE5">
            <w:rPr>
              <w:rFonts w:ascii="NoorLotus" w:hAnsi="NoorLotus" w:cs="NoorLotus"/>
              <w:noProof/>
              <w:webHidden/>
              <w:sz w:val="28"/>
              <w:rtl/>
            </w:rPr>
            <w:t>1</w:t>
          </w:r>
          <w:r w:rsidR="005D5AE5" w:rsidRPr="005D5AE5">
            <w:rPr>
              <w:rStyle w:val="Hyperlink"/>
              <w:rFonts w:ascii="NoorLotus" w:hAnsi="NoorLotus" w:cs="NoorLotus"/>
              <w:noProof/>
              <w:sz w:val="28"/>
              <w:rtl/>
            </w:rPr>
            <w:fldChar w:fldCharType="end"/>
          </w:r>
          <w:r w:rsidR="005D5AE5" w:rsidRPr="005D5AE5">
            <w:rPr>
              <w:rStyle w:val="Hyperlink"/>
              <w:rFonts w:ascii="NoorLotus" w:hAnsi="NoorLotus" w:cs="NoorLotus"/>
              <w:noProof/>
              <w:sz w:val="28"/>
              <w:rtl/>
            </w:rPr>
            <w:fldChar w:fldCharType="end"/>
          </w:r>
        </w:p>
        <w:p w14:paraId="33676D93" w14:textId="77777777" w:rsidR="005D5AE5" w:rsidRPr="005D5AE5" w:rsidRDefault="005D5AE5" w:rsidP="005D5AE5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 w:val="28"/>
            </w:rPr>
          </w:pPr>
          <w:hyperlink w:anchor="_Toc185945720" w:history="1"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t>مطلب چهارم: نقد و بررسی دفاع شهید صدر از اخباری‌ها</w:t>
            </w:r>
            <w:r w:rsidRPr="005D5AE5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begin"/>
            </w:r>
            <w:r w:rsidRPr="005D5AE5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_Toc185945720 \h </w:instrText>
            </w:r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</w:r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separate"/>
            </w:r>
            <w:r>
              <w:rPr>
                <w:rFonts w:ascii="NoorLotus" w:hAnsi="NoorLotus" w:cs="NoorLotus"/>
                <w:noProof/>
                <w:webHidden/>
                <w:sz w:val="28"/>
                <w:rtl/>
              </w:rPr>
              <w:t>1</w:t>
            </w:r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end"/>
            </w:r>
          </w:hyperlink>
        </w:p>
        <w:p w14:paraId="21E365B7" w14:textId="77777777" w:rsidR="005D5AE5" w:rsidRPr="005D5AE5" w:rsidRDefault="005D5AE5" w:rsidP="005D5AE5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 w:val="28"/>
            </w:rPr>
          </w:pPr>
          <w:hyperlink w:anchor="_Toc185945721" w:history="1"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t>اشکال به کلام شهید صدر</w:t>
            </w:r>
            <w:r w:rsidRPr="005D5AE5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begin"/>
            </w:r>
            <w:r w:rsidRPr="005D5AE5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_Toc185945721 \h </w:instrText>
            </w:r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</w:r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separate"/>
            </w:r>
            <w:r>
              <w:rPr>
                <w:rFonts w:ascii="NoorLotus" w:hAnsi="NoorLotus" w:cs="NoorLotus"/>
                <w:noProof/>
                <w:webHidden/>
                <w:sz w:val="28"/>
                <w:rtl/>
              </w:rPr>
              <w:t>2</w:t>
            </w:r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end"/>
            </w:r>
          </w:hyperlink>
        </w:p>
        <w:p w14:paraId="2BC1D1A2" w14:textId="77777777" w:rsidR="005D5AE5" w:rsidRPr="005D5AE5" w:rsidRDefault="005D5AE5" w:rsidP="005D5AE5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 w:val="28"/>
            </w:rPr>
          </w:pPr>
          <w:hyperlink w:anchor="_Toc185945722" w:history="1"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t>اشکال مرحوم شاهرودی در تعلیقه بحوث به کلام شهید صدر رحمه الله</w:t>
            </w:r>
            <w:r w:rsidRPr="005D5AE5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begin"/>
            </w:r>
            <w:r w:rsidRPr="005D5AE5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_Toc185945722 \h </w:instrText>
            </w:r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</w:r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separate"/>
            </w:r>
            <w:r>
              <w:rPr>
                <w:rFonts w:ascii="NoorLotus" w:hAnsi="NoorLotus" w:cs="NoorLotus"/>
                <w:noProof/>
                <w:webHidden/>
                <w:sz w:val="28"/>
                <w:rtl/>
              </w:rPr>
              <w:t>3</w:t>
            </w:r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end"/>
            </w:r>
          </w:hyperlink>
        </w:p>
        <w:p w14:paraId="4593F783" w14:textId="77777777" w:rsidR="005D5AE5" w:rsidRPr="005D5AE5" w:rsidRDefault="005D5AE5" w:rsidP="005D5AE5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  <w:sz w:val="28"/>
            </w:rPr>
          </w:pPr>
          <w:hyperlink w:anchor="_Toc185945723" w:history="1"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t>پاسخ به اشکال مرحوم شاهرودی</w:t>
            </w:r>
            <w:r w:rsidRPr="005D5AE5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begin"/>
            </w:r>
            <w:r w:rsidRPr="005D5AE5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_Toc185945723 \h </w:instrText>
            </w:r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</w:r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separate"/>
            </w:r>
            <w:r>
              <w:rPr>
                <w:rFonts w:ascii="NoorLotus" w:hAnsi="NoorLotus" w:cs="NoorLotus"/>
                <w:noProof/>
                <w:webHidden/>
                <w:sz w:val="28"/>
                <w:rtl/>
              </w:rPr>
              <w:t>3</w:t>
            </w:r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end"/>
            </w:r>
          </w:hyperlink>
        </w:p>
        <w:p w14:paraId="588B3740" w14:textId="77777777" w:rsidR="005D5AE5" w:rsidRPr="005D5AE5" w:rsidRDefault="005D5AE5" w:rsidP="005D5AE5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 w:val="28"/>
            </w:rPr>
          </w:pPr>
          <w:hyperlink w:anchor="_Toc185945724" w:history="1"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t>مطلب پنجم: عدم دخل نظریۀ انقلاب نسبت در مقام</w:t>
            </w:r>
            <w:r w:rsidRPr="005D5AE5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begin"/>
            </w:r>
            <w:r w:rsidRPr="005D5AE5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_Toc185945724 \h </w:instrText>
            </w:r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</w:r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separate"/>
            </w:r>
            <w:r>
              <w:rPr>
                <w:rFonts w:ascii="NoorLotus" w:hAnsi="NoorLotus" w:cs="NoorLotus"/>
                <w:noProof/>
                <w:webHidden/>
                <w:sz w:val="28"/>
                <w:rtl/>
              </w:rPr>
              <w:t>4</w:t>
            </w:r>
            <w:r w:rsidRPr="005D5AE5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fldChar w:fldCharType="end"/>
            </w:r>
          </w:hyperlink>
        </w:p>
        <w:bookmarkEnd w:id="0"/>
        <w:p w14:paraId="374CE215" w14:textId="3578CCDB" w:rsidR="003B4B10" w:rsidRPr="007711F6" w:rsidRDefault="003B4B10" w:rsidP="005D5AE5">
          <w:pPr>
            <w:jc w:val="both"/>
            <w:rPr>
              <w:rFonts w:ascii="NoorLotus" w:hAnsi="NoorLotus" w:cs="NoorLotus"/>
              <w:rtl/>
            </w:rPr>
          </w:pPr>
          <w:r w:rsidRPr="007711F6">
            <w:rPr>
              <w:rFonts w:ascii="NoorLotus" w:hAnsi="NoorLotus" w:cs="NoorLotus"/>
              <w:b/>
              <w:bCs/>
              <w:noProof/>
            </w:rPr>
            <w:fldChar w:fldCharType="end"/>
          </w:r>
        </w:p>
      </w:sdtContent>
    </w:sdt>
    <w:p w14:paraId="5058E9EC" w14:textId="314B7825" w:rsidR="00D50B47" w:rsidRPr="007711F6" w:rsidRDefault="002930C7" w:rsidP="005D5AE5">
      <w:pPr>
        <w:jc w:val="center"/>
        <w:rPr>
          <w:rFonts w:ascii="NoorLotus" w:hAnsi="NoorLotus" w:cs="NoorLotus" w:hint="cs"/>
          <w:rtl/>
        </w:rPr>
      </w:pPr>
      <w:r w:rsidRPr="007711F6">
        <w:rPr>
          <w:rFonts w:ascii="NoorLotus" w:hAnsi="NoorLotus" w:cs="NoorLotus"/>
          <w:rtl/>
        </w:rPr>
        <w:t>بسم الله الرحمن الرحیم</w:t>
      </w:r>
    </w:p>
    <w:p w14:paraId="5D05010C" w14:textId="57EF59A2" w:rsidR="002930C7" w:rsidRPr="007711F6" w:rsidRDefault="002930C7" w:rsidP="005D5AE5">
      <w:pPr>
        <w:pStyle w:val="Heading1"/>
        <w:jc w:val="both"/>
        <w:rPr>
          <w:rFonts w:ascii="NoorLotus" w:hAnsi="NoorLotus"/>
          <w:rtl/>
        </w:rPr>
      </w:pPr>
      <w:bookmarkStart w:id="1" w:name="_Toc185700214"/>
      <w:bookmarkStart w:id="2" w:name="_Toc185945719"/>
      <w:r w:rsidRPr="007711F6">
        <w:rPr>
          <w:rFonts w:ascii="NoorLotus" w:hAnsi="NoorLotus"/>
          <w:rtl/>
        </w:rPr>
        <w:t>ادامه بررسی نسبت بین ادله‌ی برائت با ادله‌ی وجوب احتیاط</w:t>
      </w:r>
      <w:bookmarkEnd w:id="1"/>
      <w:bookmarkEnd w:id="2"/>
    </w:p>
    <w:p w14:paraId="3EFEA53E" w14:textId="66A960B6" w:rsidR="007E3516" w:rsidRPr="007711F6" w:rsidRDefault="001544CB" w:rsidP="005D5AE5">
      <w:pPr>
        <w:jc w:val="both"/>
        <w:rPr>
          <w:rFonts w:ascii="NoorLotus" w:hAnsi="NoorLotus" w:cs="NoorLotus"/>
          <w:rtl/>
        </w:rPr>
      </w:pPr>
      <w:r w:rsidRPr="007711F6">
        <w:rPr>
          <w:rFonts w:ascii="NoorLotus" w:hAnsi="NoorLotus" w:cs="NoorLotus"/>
          <w:rtl/>
        </w:rPr>
        <w:t>بحث راجع به نسبت سنجی بین اخبار برائت و اخبار احتیاط بود.</w:t>
      </w:r>
      <w:r w:rsidR="00703248">
        <w:rPr>
          <w:rFonts w:ascii="NoorLotus" w:hAnsi="NoorLotus" w:cs="NoorLotus" w:hint="cs"/>
          <w:rtl/>
        </w:rPr>
        <w:t xml:space="preserve"> </w:t>
      </w:r>
      <w:r w:rsidR="007E3516" w:rsidRPr="007711F6">
        <w:rPr>
          <w:rFonts w:ascii="NoorLotus" w:hAnsi="NoorLotus" w:cs="NoorLotus"/>
          <w:rtl/>
        </w:rPr>
        <w:t xml:space="preserve">ما نکاتی را در ضمن چند مطلب بیان کردیم که نوبت به مطلب چهارم رسید. </w:t>
      </w:r>
    </w:p>
    <w:p w14:paraId="0B570734" w14:textId="3AB870A4" w:rsidR="001544CB" w:rsidRPr="007711F6" w:rsidRDefault="002E3389" w:rsidP="005D5AE5">
      <w:pPr>
        <w:pStyle w:val="Heading2"/>
        <w:jc w:val="both"/>
        <w:rPr>
          <w:rFonts w:ascii="NoorLotus" w:hAnsi="NoorLotus"/>
          <w:rtl/>
        </w:rPr>
      </w:pPr>
      <w:bookmarkStart w:id="3" w:name="_Toc185945720"/>
      <w:r w:rsidRPr="007711F6">
        <w:rPr>
          <w:rFonts w:ascii="NoorLotus" w:hAnsi="NoorLotus"/>
          <w:rtl/>
        </w:rPr>
        <w:t>مطلب چهارم</w:t>
      </w:r>
      <w:r w:rsidR="009B168B" w:rsidRPr="007711F6">
        <w:rPr>
          <w:rFonts w:ascii="NoorLotus" w:hAnsi="NoorLotus"/>
          <w:rtl/>
        </w:rPr>
        <w:t>: نقد و بررسی دفاع شهید صدر از اخباری‌ها</w:t>
      </w:r>
      <w:bookmarkEnd w:id="3"/>
    </w:p>
    <w:p w14:paraId="17D1AFA1" w14:textId="42D9BD46" w:rsidR="002E3389" w:rsidRPr="007711F6" w:rsidRDefault="002E3389" w:rsidP="005D5AE5">
      <w:pPr>
        <w:jc w:val="both"/>
        <w:rPr>
          <w:rFonts w:ascii="NoorLotus" w:hAnsi="NoorLotus" w:cs="NoorLotus"/>
          <w:rtl/>
        </w:rPr>
      </w:pPr>
      <w:r w:rsidRPr="007711F6">
        <w:rPr>
          <w:rFonts w:ascii="NoorLotus" w:hAnsi="NoorLotus" w:cs="NoorLotus"/>
          <w:rtl/>
        </w:rPr>
        <w:t>شهید صدر رحمه الله در مباحث الاصول فر</w:t>
      </w:r>
      <w:r w:rsidR="00703248">
        <w:rPr>
          <w:rFonts w:ascii="NoorLotus" w:hAnsi="NoorLotus" w:cs="NoorLotus"/>
          <w:rtl/>
        </w:rPr>
        <w:t>موده‌اند: اخبار احتیاط دو قسم ه</w:t>
      </w:r>
      <w:r w:rsidRPr="007711F6">
        <w:rPr>
          <w:rFonts w:ascii="NoorLotus" w:hAnsi="NoorLotus" w:cs="NoorLotus"/>
          <w:rtl/>
        </w:rPr>
        <w:t>س</w:t>
      </w:r>
      <w:r w:rsidR="00703248">
        <w:rPr>
          <w:rFonts w:ascii="NoorLotus" w:hAnsi="NoorLotus" w:cs="NoorLotus" w:hint="cs"/>
          <w:rtl/>
        </w:rPr>
        <w:t>ت</w:t>
      </w:r>
      <w:r w:rsidR="00703248">
        <w:rPr>
          <w:rFonts w:ascii="NoorLotus" w:hAnsi="NoorLotus" w:cs="NoorLotus"/>
          <w:rtl/>
        </w:rPr>
        <w:t>ند: قسم اول</w:t>
      </w:r>
      <w:r w:rsidR="00703248">
        <w:rPr>
          <w:rFonts w:ascii="NoorLotus" w:hAnsi="NoorLotus" w:cs="NoorLotus" w:hint="cs"/>
          <w:rtl/>
        </w:rPr>
        <w:t>،</w:t>
      </w:r>
      <w:r w:rsidRPr="007711F6">
        <w:rPr>
          <w:rFonts w:ascii="NoorLotus" w:hAnsi="NoorLotus" w:cs="NoorLotus"/>
          <w:rtl/>
        </w:rPr>
        <w:t xml:space="preserve"> عام است و شامل شبهات حکمیه وموضوعیه می‌شود مثل </w:t>
      </w:r>
      <w:r w:rsidR="007E3516" w:rsidRPr="007711F6">
        <w:rPr>
          <w:rFonts w:ascii="NoorLotus" w:hAnsi="NoorLotus" w:cs="NoorLotus"/>
          <w:rtl/>
        </w:rPr>
        <w:t>«</w:t>
      </w:r>
      <w:r w:rsidR="007E3516" w:rsidRPr="007711F6">
        <w:rPr>
          <w:rFonts w:ascii="NoorLotus" w:hAnsi="NoorLotus" w:cs="NoorLotus"/>
          <w:color w:val="0070C0"/>
          <w:rtl/>
        </w:rPr>
        <w:t>اخوک دینک فاحتط لدینک</w:t>
      </w:r>
      <w:r w:rsidR="007E3516" w:rsidRPr="007711F6">
        <w:rPr>
          <w:rFonts w:ascii="NoorLotus" w:hAnsi="NoorLotus" w:cs="NoorLotus"/>
          <w:rtl/>
        </w:rPr>
        <w:t>»</w:t>
      </w:r>
      <w:r w:rsidR="007E3516" w:rsidRPr="007711F6">
        <w:rPr>
          <w:rStyle w:val="FootnoteReference"/>
          <w:rFonts w:ascii="NoorLotus" w:hAnsi="NoorLotus" w:cs="NoorLotus"/>
          <w:color w:val="0070C0"/>
          <w:sz w:val="30"/>
          <w:szCs w:val="30"/>
          <w:rtl/>
        </w:rPr>
        <w:footnoteReference w:id="1"/>
      </w:r>
      <w:r w:rsidR="00703248">
        <w:rPr>
          <w:rFonts w:ascii="NoorLotus" w:hAnsi="NoorLotus" w:cs="NoorLotus"/>
          <w:rtl/>
        </w:rPr>
        <w:t xml:space="preserve"> و قسم دوم</w:t>
      </w:r>
      <w:r w:rsidR="00703248">
        <w:rPr>
          <w:rFonts w:ascii="NoorLotus" w:hAnsi="NoorLotus" w:cs="NoorLotus" w:hint="cs"/>
          <w:rtl/>
        </w:rPr>
        <w:t>،</w:t>
      </w:r>
      <w:r w:rsidRPr="007711F6">
        <w:rPr>
          <w:rFonts w:ascii="NoorLotus" w:hAnsi="NoorLotus" w:cs="NoorLotus"/>
          <w:rtl/>
        </w:rPr>
        <w:t xml:space="preserve"> مختص به شبهات حکمیه است مثل مقبوله عمر بن حنظله که مختص به شبهات حکمیه است</w:t>
      </w:r>
      <w:r w:rsidR="001953E0" w:rsidRPr="007711F6">
        <w:rPr>
          <w:rFonts w:ascii="NoorLotus" w:hAnsi="NoorLotus" w:cs="NoorLotus"/>
          <w:rtl/>
        </w:rPr>
        <w:t xml:space="preserve"> امام علیه السلام در این روایت فرمودند:</w:t>
      </w:r>
      <w:r w:rsidRPr="007711F6">
        <w:rPr>
          <w:rFonts w:ascii="NoorLotus" w:hAnsi="NoorLotus" w:cs="NoorLotus"/>
          <w:rtl/>
        </w:rPr>
        <w:t xml:space="preserve"> </w:t>
      </w:r>
      <w:r w:rsidR="001953E0" w:rsidRPr="007711F6">
        <w:rPr>
          <w:rFonts w:ascii="NoorLotus" w:hAnsi="NoorLotus" w:cs="NoorLotus"/>
          <w:color w:val="0070C0"/>
          <w:rtl/>
        </w:rPr>
        <w:t>«</w:t>
      </w:r>
      <w:r w:rsidR="001953E0" w:rsidRPr="007711F6">
        <w:rPr>
          <w:rFonts w:ascii="NoorLotus" w:hAnsi="NoorLotus" w:cs="NoorLotus"/>
          <w:color w:val="0070C0"/>
          <w:sz w:val="34"/>
          <w:rtl/>
        </w:rPr>
        <w:t>اذا کان کذلک فارجه حتی تلقی امامک الوقوف عند الشبهات خیر من الاقتحام فی الهلکات</w:t>
      </w:r>
      <w:r w:rsidR="001953E0" w:rsidRPr="007711F6">
        <w:rPr>
          <w:rFonts w:ascii="NoorLotus" w:hAnsi="NoorLotus" w:cs="NoorLotus"/>
          <w:color w:val="0070C0"/>
          <w:rtl/>
        </w:rPr>
        <w:t>»</w:t>
      </w:r>
      <w:r w:rsidR="007E3516" w:rsidRPr="007711F6">
        <w:rPr>
          <w:rStyle w:val="FootnoteReference"/>
          <w:rFonts w:ascii="NoorLotus" w:hAnsi="NoorLotus" w:cs="NoorLotus"/>
          <w:color w:val="0070C0"/>
          <w:sz w:val="30"/>
          <w:szCs w:val="30"/>
          <w:rtl/>
        </w:rPr>
        <w:footnoteReference w:id="2"/>
      </w:r>
    </w:p>
    <w:p w14:paraId="3AE4DCB8" w14:textId="0FEEDF25" w:rsidR="002E3389" w:rsidRDefault="001953E0" w:rsidP="005D5AE5">
      <w:pPr>
        <w:jc w:val="both"/>
        <w:rPr>
          <w:rFonts w:ascii="NoorLotus" w:hAnsi="NoorLotus" w:cs="NoorLotus"/>
          <w:rtl/>
        </w:rPr>
      </w:pPr>
      <w:r w:rsidRPr="007711F6">
        <w:rPr>
          <w:rFonts w:ascii="NoorLotus" w:hAnsi="NoorLotus" w:cs="NoorLotus"/>
          <w:rtl/>
        </w:rPr>
        <w:lastRenderedPageBreak/>
        <w:t xml:space="preserve">با توجه به انصراف </w:t>
      </w:r>
      <w:r w:rsidR="002E3389" w:rsidRPr="007711F6">
        <w:rPr>
          <w:rFonts w:ascii="NoorLotus" w:hAnsi="NoorLotus" w:cs="NoorLotus"/>
          <w:rtl/>
        </w:rPr>
        <w:t xml:space="preserve">حدیث رفع از شبهات بدویه قبل از فحص و شبهات مقرون به علم اجمالی نسبت آن با قسم دوم از اخبار احتیاط </w:t>
      </w:r>
      <w:r w:rsidR="000D120D">
        <w:rPr>
          <w:rFonts w:ascii="NoorLotus" w:hAnsi="NoorLotus" w:cs="NoorLotus" w:hint="cs"/>
          <w:rtl/>
        </w:rPr>
        <w:t>عموم و خصوص من وجه</w:t>
      </w:r>
      <w:r w:rsidR="002E3389" w:rsidRPr="007711F6">
        <w:rPr>
          <w:rFonts w:ascii="NoorLotus" w:hAnsi="NoorLotus" w:cs="NoorLotus"/>
          <w:rtl/>
        </w:rPr>
        <w:t xml:space="preserve"> می‌شود</w:t>
      </w:r>
      <w:r w:rsidR="000D120D">
        <w:rPr>
          <w:rFonts w:ascii="NoorLotus" w:hAnsi="NoorLotus" w:cs="NoorLotus" w:hint="cs"/>
          <w:rtl/>
        </w:rPr>
        <w:t>.</w:t>
      </w:r>
      <w:r w:rsidR="002E3389" w:rsidRPr="007711F6">
        <w:rPr>
          <w:rFonts w:ascii="NoorLotus" w:hAnsi="NoorLotus" w:cs="NoorLotus"/>
          <w:rtl/>
        </w:rPr>
        <w:t xml:space="preserve"> </w:t>
      </w:r>
      <w:r w:rsidRPr="007711F6">
        <w:rPr>
          <w:rFonts w:ascii="NoorLotus" w:hAnsi="NoorLotus" w:cs="NoorLotus"/>
          <w:rtl/>
        </w:rPr>
        <w:t>مورد افتراق قسم دوم از اخبار احتیاط</w:t>
      </w:r>
      <w:r w:rsidR="000D120D">
        <w:rPr>
          <w:rFonts w:ascii="NoorLotus" w:hAnsi="NoorLotus" w:cs="NoorLotus" w:hint="cs"/>
          <w:rtl/>
        </w:rPr>
        <w:t>،</w:t>
      </w:r>
      <w:r w:rsidRPr="007711F6">
        <w:rPr>
          <w:rFonts w:ascii="NoorLotus" w:hAnsi="NoorLotus" w:cs="NoorLotus"/>
          <w:rtl/>
        </w:rPr>
        <w:t xml:space="preserve"> شبهات مقرون به علم اجمالی و شبهات بدویه قبل از فحص </w:t>
      </w:r>
      <w:r w:rsidR="000D120D">
        <w:rPr>
          <w:rFonts w:ascii="NoorLotus" w:hAnsi="NoorLotus" w:cs="NoorLotus" w:hint="cs"/>
          <w:rtl/>
        </w:rPr>
        <w:t xml:space="preserve">است و </w:t>
      </w:r>
      <w:r w:rsidRPr="007711F6">
        <w:rPr>
          <w:rFonts w:ascii="NoorLotus" w:hAnsi="NoorLotus" w:cs="NoorLotus"/>
          <w:rtl/>
        </w:rPr>
        <w:t>مورد اقتراق حدیث رفع</w:t>
      </w:r>
      <w:r w:rsidR="000D120D">
        <w:rPr>
          <w:rFonts w:ascii="NoorLotus" w:hAnsi="NoorLotus" w:cs="NoorLotus" w:hint="cs"/>
          <w:rtl/>
        </w:rPr>
        <w:t>،</w:t>
      </w:r>
      <w:r w:rsidR="000D120D">
        <w:rPr>
          <w:rFonts w:ascii="NoorLotus" w:hAnsi="NoorLotus" w:cs="NoorLotus"/>
          <w:rtl/>
        </w:rPr>
        <w:t xml:space="preserve"> شبهات موضوعیه</w:t>
      </w:r>
      <w:r w:rsidR="000D120D">
        <w:rPr>
          <w:rFonts w:ascii="NoorLotus" w:hAnsi="NoorLotus" w:cs="NoorLotus" w:hint="cs"/>
          <w:rtl/>
        </w:rPr>
        <w:t xml:space="preserve"> و</w:t>
      </w:r>
      <w:r w:rsidR="000D120D">
        <w:rPr>
          <w:rFonts w:ascii="NoorLotus" w:hAnsi="NoorLotus" w:cs="NoorLotus"/>
          <w:rtl/>
        </w:rPr>
        <w:t xml:space="preserve"> مورد اجتماع</w:t>
      </w:r>
      <w:r w:rsidR="000D120D">
        <w:rPr>
          <w:rFonts w:ascii="NoorLotus" w:hAnsi="NoorLotus" w:cs="NoorLotus" w:hint="cs"/>
          <w:rtl/>
        </w:rPr>
        <w:t>،</w:t>
      </w:r>
      <w:r w:rsidRPr="007711F6">
        <w:rPr>
          <w:rFonts w:ascii="NoorLotus" w:hAnsi="NoorLotus" w:cs="NoorLotus"/>
          <w:rtl/>
        </w:rPr>
        <w:t xml:space="preserve"> شبهات حکمیه </w:t>
      </w:r>
      <w:r w:rsidR="000C323A" w:rsidRPr="007711F6">
        <w:rPr>
          <w:rFonts w:ascii="NoorLotus" w:hAnsi="NoorLotus" w:cs="NoorLotus"/>
          <w:rtl/>
        </w:rPr>
        <w:t xml:space="preserve">بدویه </w:t>
      </w:r>
      <w:r w:rsidRPr="007711F6">
        <w:rPr>
          <w:rFonts w:ascii="NoorLotus" w:hAnsi="NoorLotus" w:cs="NoorLotus"/>
          <w:rtl/>
        </w:rPr>
        <w:t xml:space="preserve">بعد از فحص </w:t>
      </w:r>
      <w:r w:rsidR="000D120D">
        <w:rPr>
          <w:rFonts w:ascii="NoorLotus" w:hAnsi="NoorLotus" w:cs="NoorLotus" w:hint="cs"/>
          <w:rtl/>
        </w:rPr>
        <w:t xml:space="preserve">است </w:t>
      </w:r>
      <w:r w:rsidRPr="007711F6">
        <w:rPr>
          <w:rFonts w:ascii="NoorLotus" w:hAnsi="NoorLotus" w:cs="NoorLotus"/>
          <w:rtl/>
        </w:rPr>
        <w:t xml:space="preserve">و در این مورد اجتماع </w:t>
      </w:r>
      <w:r w:rsidR="002E3389" w:rsidRPr="007711F6">
        <w:rPr>
          <w:rFonts w:ascii="NoorLotus" w:hAnsi="NoorLotus" w:cs="NoorLotus"/>
          <w:rtl/>
        </w:rPr>
        <w:t>تعارض و تساقط می‌کنند و بعد از آن به قسم اول از اخبار احتیاط</w:t>
      </w:r>
      <w:r w:rsidR="000C323A" w:rsidRPr="007711F6">
        <w:rPr>
          <w:rFonts w:ascii="NoorLotus" w:hAnsi="NoorLotus" w:cs="NoorLotus"/>
          <w:rtl/>
        </w:rPr>
        <w:t xml:space="preserve"> که عام هستند</w:t>
      </w:r>
      <w:r w:rsidR="002E3389" w:rsidRPr="007711F6">
        <w:rPr>
          <w:rFonts w:ascii="NoorLotus" w:hAnsi="NoorLotus" w:cs="NoorLotus"/>
          <w:rtl/>
        </w:rPr>
        <w:t xml:space="preserve"> رجوع می‌شود که نسبت آن با اخبار برائت عموم و خصوص مطلق است و با هم تعارضی نداشتند</w:t>
      </w:r>
      <w:r w:rsidR="00392CC9" w:rsidRPr="007711F6">
        <w:rPr>
          <w:rStyle w:val="FootnoteReference"/>
          <w:rFonts w:ascii="NoorLotus" w:hAnsi="NoorLotus" w:cs="NoorLotus"/>
          <w:rtl/>
        </w:rPr>
        <w:footnoteReference w:id="3"/>
      </w:r>
      <w:r w:rsidR="002E3389" w:rsidRPr="007711F6">
        <w:rPr>
          <w:rFonts w:ascii="NoorLotus" w:hAnsi="NoorLotus" w:cs="NoorLotus"/>
          <w:rtl/>
        </w:rPr>
        <w:t xml:space="preserve">. </w:t>
      </w:r>
    </w:p>
    <w:p w14:paraId="17754B1F" w14:textId="3B398F50" w:rsidR="007A69E4" w:rsidRPr="007711F6" w:rsidRDefault="007A69E4" w:rsidP="005D5AE5">
      <w:pPr>
        <w:pStyle w:val="Heading2"/>
        <w:rPr>
          <w:rtl/>
        </w:rPr>
      </w:pPr>
      <w:bookmarkStart w:id="4" w:name="_Toc185945721"/>
      <w:r>
        <w:rPr>
          <w:rFonts w:hint="cs"/>
          <w:rtl/>
        </w:rPr>
        <w:t>اشکال به کلام شهید صدر</w:t>
      </w:r>
      <w:bookmarkEnd w:id="4"/>
    </w:p>
    <w:p w14:paraId="2B43F179" w14:textId="3D79842C" w:rsidR="002E3389" w:rsidRPr="007711F6" w:rsidRDefault="00392CC9" w:rsidP="005D5AE5">
      <w:pPr>
        <w:jc w:val="both"/>
        <w:rPr>
          <w:rFonts w:ascii="NoorLotus" w:hAnsi="NoorLotus" w:cs="NoorLotus"/>
          <w:rtl/>
        </w:rPr>
      </w:pPr>
      <w:r w:rsidRPr="007711F6">
        <w:rPr>
          <w:rFonts w:ascii="NoorLotus" w:hAnsi="NoorLotus" w:cs="NoorLotus"/>
          <w:rtl/>
        </w:rPr>
        <w:t xml:space="preserve">این کلام ایشان -یعنی دو قسم بودن اخبار احتیاط- مبتنی بر این است که </w:t>
      </w:r>
      <w:r w:rsidR="00845A88" w:rsidRPr="007711F6">
        <w:rPr>
          <w:rFonts w:ascii="NoorLotus" w:hAnsi="NoorLotus" w:cs="NoorLotus"/>
          <w:rtl/>
        </w:rPr>
        <w:t xml:space="preserve">ذیل مقبوله </w:t>
      </w:r>
      <w:r w:rsidRPr="007711F6">
        <w:rPr>
          <w:rFonts w:ascii="NoorLotus" w:hAnsi="NoorLotus" w:cs="NoorLotus"/>
          <w:rtl/>
        </w:rPr>
        <w:t>یعنی «</w:t>
      </w:r>
      <w:r w:rsidRPr="007711F6">
        <w:rPr>
          <w:rFonts w:ascii="NoorLotus" w:hAnsi="NoorLotus" w:cs="NoorLotus"/>
          <w:color w:val="0070C0"/>
          <w:sz w:val="34"/>
          <w:rtl/>
        </w:rPr>
        <w:t xml:space="preserve">اذا کان کذلک فارجه حتی تلقی امامک </w:t>
      </w:r>
      <w:r w:rsidR="005118F9" w:rsidRPr="007711F6">
        <w:rPr>
          <w:rFonts w:ascii="NoorLotus" w:hAnsi="NoorLotus" w:cs="NoorLotus"/>
          <w:color w:val="0070C0"/>
          <w:sz w:val="34"/>
          <w:rtl/>
        </w:rPr>
        <w:t>الوقوف عند الشبهات خیر من الاقتحام فی الهلکات</w:t>
      </w:r>
      <w:r w:rsidRPr="007711F6">
        <w:rPr>
          <w:rFonts w:ascii="NoorLotus" w:hAnsi="NoorLotus" w:cs="NoorLotus"/>
          <w:color w:val="0070C0"/>
          <w:rtl/>
        </w:rPr>
        <w:t>»</w:t>
      </w:r>
      <w:r w:rsidRPr="007711F6">
        <w:rPr>
          <w:rStyle w:val="FootnoteReference"/>
          <w:rFonts w:ascii="NoorLotus" w:hAnsi="NoorLotus" w:cs="NoorLotus"/>
          <w:color w:val="0070C0"/>
          <w:sz w:val="30"/>
          <w:szCs w:val="30"/>
          <w:rtl/>
        </w:rPr>
        <w:footnoteReference w:id="4"/>
      </w:r>
      <w:r w:rsidR="00AA4861" w:rsidRPr="007711F6">
        <w:rPr>
          <w:rFonts w:ascii="NoorLotus" w:hAnsi="NoorLotus" w:cs="NoorLotus"/>
          <w:rtl/>
        </w:rPr>
        <w:t xml:space="preserve"> مختص به شبهات حکمیه </w:t>
      </w:r>
      <w:r w:rsidRPr="007711F6">
        <w:rPr>
          <w:rFonts w:ascii="NoorLotus" w:hAnsi="NoorLotus" w:cs="NoorLotus"/>
          <w:rtl/>
        </w:rPr>
        <w:t>باشد.</w:t>
      </w:r>
      <w:r w:rsidR="00AA4861" w:rsidRPr="007711F6">
        <w:rPr>
          <w:rFonts w:ascii="NoorLotus" w:hAnsi="NoorLotus" w:cs="NoorLotus"/>
          <w:rtl/>
        </w:rPr>
        <w:t xml:space="preserve"> ولی ممکن است گفته شود ولو مورد این روایت شبهه‌ی حکمیه است ولی دلیل وارد</w:t>
      </w:r>
      <w:r w:rsidR="008C67BC" w:rsidRPr="007711F6">
        <w:rPr>
          <w:rFonts w:ascii="NoorLotus" w:hAnsi="NoorLotus" w:cs="NoorLotus"/>
          <w:rtl/>
        </w:rPr>
        <w:t xml:space="preserve"> که تعلیل است «</w:t>
      </w:r>
      <w:r w:rsidR="005118F9" w:rsidRPr="007711F6">
        <w:rPr>
          <w:rFonts w:ascii="NoorLotus" w:hAnsi="NoorLotus" w:cs="NoorLotus"/>
          <w:color w:val="0070C0"/>
          <w:sz w:val="34"/>
          <w:rtl/>
        </w:rPr>
        <w:t>الوقوف عند الشبهات خیر من الاقتحام فی الهلکات</w:t>
      </w:r>
      <w:r w:rsidR="008C67BC" w:rsidRPr="007711F6">
        <w:rPr>
          <w:rFonts w:ascii="NoorLotus" w:hAnsi="NoorLotus" w:cs="NoorLotus"/>
          <w:rtl/>
        </w:rPr>
        <w:t>»</w:t>
      </w:r>
      <w:r w:rsidR="00AA4861" w:rsidRPr="007711F6">
        <w:rPr>
          <w:rFonts w:ascii="NoorLotus" w:hAnsi="NoorLotus" w:cs="NoorLotus"/>
          <w:rtl/>
        </w:rPr>
        <w:t xml:space="preserve"> مطلق</w:t>
      </w:r>
      <w:r w:rsidR="006926CE" w:rsidRPr="007711F6">
        <w:rPr>
          <w:rFonts w:ascii="NoorLotus" w:hAnsi="NoorLotus" w:cs="NoorLotus"/>
          <w:rtl/>
        </w:rPr>
        <w:t xml:space="preserve"> و عام</w:t>
      </w:r>
      <w:r w:rsidR="00AA4861" w:rsidRPr="007711F6">
        <w:rPr>
          <w:rFonts w:ascii="NoorLotus" w:hAnsi="NoorLotus" w:cs="NoorLotus"/>
          <w:rtl/>
        </w:rPr>
        <w:t xml:space="preserve"> است</w:t>
      </w:r>
      <w:r w:rsidR="005118F9" w:rsidRPr="007711F6">
        <w:rPr>
          <w:rFonts w:ascii="NoorLotus" w:hAnsi="NoorLotus" w:cs="NoorLotus"/>
          <w:rtl/>
        </w:rPr>
        <w:t xml:space="preserve"> و شامل شبهات موضوعیه نیز می‌شود. چون</w:t>
      </w:r>
      <w:r w:rsidR="00AA4861" w:rsidRPr="007711F6">
        <w:rPr>
          <w:rFonts w:ascii="NoorLotus" w:hAnsi="NoorLotus" w:cs="NoorLotus"/>
          <w:rtl/>
        </w:rPr>
        <w:t xml:space="preserve"> نکته‌ی وجوب احتیاط در شبهات حکمیه </w:t>
      </w:r>
      <w:r w:rsidR="00427E64" w:rsidRPr="007711F6">
        <w:rPr>
          <w:rFonts w:ascii="NoorLotus" w:hAnsi="NoorLotus" w:cs="NoorLotus"/>
          <w:rtl/>
        </w:rPr>
        <w:t>این است که در صورت عدم وقوف در شبهات</w:t>
      </w:r>
      <w:r w:rsidR="00DB14B8" w:rsidRPr="007711F6">
        <w:rPr>
          <w:rFonts w:ascii="NoorLotus" w:hAnsi="NoorLotus" w:cs="NoorLotus"/>
          <w:rtl/>
        </w:rPr>
        <w:t xml:space="preserve"> هیچ راه دیگری غیر از</w:t>
      </w:r>
      <w:r w:rsidR="00427E64" w:rsidRPr="007711F6">
        <w:rPr>
          <w:rFonts w:ascii="NoorLotus" w:hAnsi="NoorLotus" w:cs="NoorLotus"/>
          <w:rtl/>
        </w:rPr>
        <w:t xml:space="preserve"> اقتحام در هلکات </w:t>
      </w:r>
      <w:r w:rsidR="00DB14B8" w:rsidRPr="007711F6">
        <w:rPr>
          <w:rFonts w:ascii="NoorLotus" w:hAnsi="NoorLotus" w:cs="NoorLotus"/>
          <w:rtl/>
        </w:rPr>
        <w:t xml:space="preserve">وجود ندارد </w:t>
      </w:r>
      <w:r w:rsidR="00427E64" w:rsidRPr="007711F6">
        <w:rPr>
          <w:rFonts w:ascii="NoorLotus" w:hAnsi="NoorLotus" w:cs="NoorLotus"/>
          <w:rtl/>
        </w:rPr>
        <w:t xml:space="preserve">که آن جایز نیست و این نکته شامل شبهات موضوعیه نیز می‌شود </w:t>
      </w:r>
    </w:p>
    <w:p w14:paraId="0DF47309" w14:textId="609DFA0F" w:rsidR="00427E64" w:rsidRPr="007711F6" w:rsidRDefault="00427E64" w:rsidP="005D5AE5">
      <w:pPr>
        <w:jc w:val="both"/>
        <w:rPr>
          <w:rFonts w:ascii="NoorLotus" w:hAnsi="NoorLotus" w:cs="NoorLotus"/>
          <w:rtl/>
        </w:rPr>
      </w:pPr>
      <w:r w:rsidRPr="007711F6">
        <w:rPr>
          <w:rFonts w:ascii="NoorLotus" w:hAnsi="NoorLotus" w:cs="NoorLotus"/>
          <w:rtl/>
        </w:rPr>
        <w:t>اگر گفته شود این تعلیل ارشاد به حکم عقل است</w:t>
      </w:r>
      <w:r w:rsidR="00147A3E" w:rsidRPr="007711F6">
        <w:rPr>
          <w:rFonts w:ascii="NoorLotus" w:hAnsi="NoorLotus" w:cs="NoorLotus"/>
          <w:rtl/>
        </w:rPr>
        <w:t xml:space="preserve"> لذا </w:t>
      </w:r>
      <w:r w:rsidRPr="007711F6">
        <w:rPr>
          <w:rFonts w:ascii="NoorLotus" w:hAnsi="NoorLotus" w:cs="NoorLotus"/>
          <w:rtl/>
        </w:rPr>
        <w:t>در مواردی که احتمال عقاب داده شود احتمال اقتحام در هلکه مطرح می‌شود</w:t>
      </w:r>
      <w:r w:rsidR="00147A3E" w:rsidRPr="007711F6">
        <w:rPr>
          <w:rFonts w:ascii="NoorLotus" w:hAnsi="NoorLotus" w:cs="NoorLotus"/>
          <w:rtl/>
        </w:rPr>
        <w:t xml:space="preserve"> و </w:t>
      </w:r>
      <w:r w:rsidR="00BA0980" w:rsidRPr="007711F6">
        <w:rPr>
          <w:rFonts w:ascii="NoorLotus" w:hAnsi="NoorLotus" w:cs="NoorLotus"/>
          <w:rtl/>
        </w:rPr>
        <w:t xml:space="preserve">احتمال عقاب در مواردی داده می‌شود که </w:t>
      </w:r>
      <w:r w:rsidR="00AD03AD">
        <w:rPr>
          <w:rFonts w:ascii="NoorLotus" w:hAnsi="NoorLotus" w:cs="NoorLotus" w:hint="cs"/>
          <w:rtl/>
        </w:rPr>
        <w:t xml:space="preserve">در رتیه سابقه </w:t>
      </w:r>
      <w:r w:rsidR="00AD03AD">
        <w:rPr>
          <w:rFonts w:ascii="NoorLotus" w:hAnsi="NoorLotus" w:cs="NoorLotus"/>
          <w:rtl/>
        </w:rPr>
        <w:t>تکلیف منجز باشد</w:t>
      </w:r>
      <w:r w:rsidR="00AD03AD">
        <w:rPr>
          <w:rFonts w:ascii="NoorLotus" w:hAnsi="NoorLotus" w:cs="NoorLotus" w:hint="cs"/>
          <w:rtl/>
        </w:rPr>
        <w:t>؛</w:t>
      </w:r>
      <w:r w:rsidR="00BA0980" w:rsidRPr="007711F6">
        <w:rPr>
          <w:rFonts w:ascii="NoorLotus" w:hAnsi="NoorLotus" w:cs="NoorLotus"/>
          <w:rtl/>
        </w:rPr>
        <w:t xml:space="preserve"> طبق این </w:t>
      </w:r>
      <w:r w:rsidR="009F6921" w:rsidRPr="007711F6">
        <w:rPr>
          <w:rFonts w:ascii="NoorLotus" w:hAnsi="NoorLotus" w:cs="NoorLotus"/>
          <w:rtl/>
        </w:rPr>
        <w:t xml:space="preserve">فرض </w:t>
      </w:r>
      <w:r w:rsidRPr="007711F6">
        <w:rPr>
          <w:rFonts w:ascii="NoorLotus" w:hAnsi="NoorLotus" w:cs="NoorLotus"/>
          <w:rtl/>
        </w:rPr>
        <w:t>در شبهات حکمیه نیز دلیل بر وجوب احتیاط نخواهد بود و فرض این است که</w:t>
      </w:r>
      <w:r w:rsidR="009F6921" w:rsidRPr="007711F6">
        <w:rPr>
          <w:rFonts w:ascii="NoorLotus" w:hAnsi="NoorLotus" w:cs="NoorLotus"/>
          <w:rtl/>
        </w:rPr>
        <w:t xml:space="preserve"> این روایت دلیل بر وجوب شرعی احتیاط است و </w:t>
      </w:r>
      <w:r w:rsidRPr="007711F6">
        <w:rPr>
          <w:rFonts w:ascii="NoorLotus" w:hAnsi="NoorLotus" w:cs="NoorLotus"/>
          <w:rtl/>
        </w:rPr>
        <w:t>با همین</w:t>
      </w:r>
      <w:r w:rsidR="00AD03AD">
        <w:rPr>
          <w:rFonts w:ascii="NoorLotus" w:hAnsi="NoorLotus" w:cs="NoorLotus" w:hint="cs"/>
          <w:rtl/>
        </w:rPr>
        <w:t xml:space="preserve"> روایت،</w:t>
      </w:r>
      <w:r w:rsidRPr="007711F6">
        <w:rPr>
          <w:rFonts w:ascii="NoorLotus" w:hAnsi="NoorLotus" w:cs="NoorLotus"/>
          <w:rtl/>
        </w:rPr>
        <w:t xml:space="preserve"> تکلیف محتمل</w:t>
      </w:r>
      <w:r w:rsidR="00AD03AD">
        <w:rPr>
          <w:rFonts w:ascii="NoorLotus" w:hAnsi="NoorLotus" w:cs="NoorLotus" w:hint="cs"/>
          <w:rtl/>
        </w:rPr>
        <w:t>،</w:t>
      </w:r>
      <w:r w:rsidRPr="007711F6">
        <w:rPr>
          <w:rFonts w:ascii="NoorLotus" w:hAnsi="NoorLotus" w:cs="NoorLotus"/>
          <w:rtl/>
        </w:rPr>
        <w:t xml:space="preserve"> منجز می‌شود. </w:t>
      </w:r>
    </w:p>
    <w:p w14:paraId="565D39D3" w14:textId="3DB151E6" w:rsidR="008C67BC" w:rsidRPr="007711F6" w:rsidRDefault="00DB14B8" w:rsidP="005D5AE5">
      <w:pPr>
        <w:jc w:val="both"/>
        <w:rPr>
          <w:rFonts w:ascii="NoorLotus" w:hAnsi="NoorLotus" w:cs="NoorLotus"/>
          <w:rtl/>
        </w:rPr>
      </w:pPr>
      <w:r w:rsidRPr="007711F6">
        <w:rPr>
          <w:rFonts w:ascii="NoorLotus" w:hAnsi="NoorLotus" w:cs="NoorLotus"/>
          <w:rtl/>
        </w:rPr>
        <w:t>البته بنا</w:t>
      </w:r>
      <w:r w:rsidR="00AD03AD">
        <w:rPr>
          <w:rFonts w:ascii="NoorLotus" w:hAnsi="NoorLotus" w:cs="NoorLotus" w:hint="cs"/>
          <w:rtl/>
        </w:rPr>
        <w:t xml:space="preserve"> </w:t>
      </w:r>
      <w:r w:rsidRPr="007711F6">
        <w:rPr>
          <w:rFonts w:ascii="NoorLotus" w:hAnsi="NoorLotus" w:cs="NoorLotus"/>
          <w:rtl/>
        </w:rPr>
        <w:t>بر اختصاص «قف عند الشبهة» به شبهات حکمیه تحریمیه -که آیت الله سیستانی حفظه الله مطرح کردند-</w:t>
      </w:r>
      <w:r w:rsidR="005951EE" w:rsidRPr="007711F6">
        <w:rPr>
          <w:rFonts w:ascii="NoorLotus" w:hAnsi="NoorLotus" w:cs="NoorLotus"/>
          <w:rtl/>
        </w:rPr>
        <w:t xml:space="preserve"> نسبت بین آن با حدیث رفع عموم </w:t>
      </w:r>
      <w:r w:rsidR="00345FF6">
        <w:rPr>
          <w:rFonts w:ascii="NoorLotus" w:hAnsi="NoorLotus" w:cs="NoorLotus" w:hint="cs"/>
          <w:rtl/>
        </w:rPr>
        <w:t xml:space="preserve">و خصوص </w:t>
      </w:r>
      <w:r w:rsidR="005951EE" w:rsidRPr="007711F6">
        <w:rPr>
          <w:rFonts w:ascii="NoorLotus" w:hAnsi="NoorLotus" w:cs="NoorLotus"/>
          <w:rtl/>
        </w:rPr>
        <w:t>من وجه خواهد بود زیرا</w:t>
      </w:r>
      <w:r w:rsidRPr="007711F6">
        <w:rPr>
          <w:rFonts w:ascii="NoorLotus" w:hAnsi="NoorLotus" w:cs="NoorLotus"/>
          <w:rtl/>
        </w:rPr>
        <w:t xml:space="preserve"> </w:t>
      </w:r>
      <w:r w:rsidR="008C67BC" w:rsidRPr="007711F6">
        <w:rPr>
          <w:rFonts w:ascii="NoorLotus" w:hAnsi="NoorLotus" w:cs="NoorLotus"/>
          <w:rtl/>
        </w:rPr>
        <w:t>حدیث رفع اعم از شبهات حکمیه وجوبیه و تحریمیه است</w:t>
      </w:r>
      <w:r w:rsidR="005951EE" w:rsidRPr="007711F6">
        <w:rPr>
          <w:rFonts w:ascii="NoorLotus" w:hAnsi="NoorLotus" w:cs="NoorLotus"/>
          <w:rtl/>
        </w:rPr>
        <w:t xml:space="preserve"> ولی منصرف به شبهات بدویه بعد از فحص است</w:t>
      </w:r>
      <w:r w:rsidR="008C67BC" w:rsidRPr="007711F6">
        <w:rPr>
          <w:rFonts w:ascii="NoorLotus" w:hAnsi="NoorLotus" w:cs="NoorLotus"/>
          <w:rtl/>
        </w:rPr>
        <w:t xml:space="preserve"> و</w:t>
      </w:r>
      <w:r w:rsidR="005951EE" w:rsidRPr="007711F6">
        <w:rPr>
          <w:rFonts w:ascii="NoorLotus" w:hAnsi="NoorLotus" w:cs="NoorLotus"/>
          <w:rtl/>
        </w:rPr>
        <w:t>لی</w:t>
      </w:r>
      <w:r w:rsidR="008C67BC" w:rsidRPr="007711F6">
        <w:rPr>
          <w:rFonts w:ascii="NoorLotus" w:hAnsi="NoorLotus" w:cs="NoorLotus"/>
          <w:rtl/>
        </w:rPr>
        <w:t xml:space="preserve"> ذیل مقبوله مختص به شبهات تحریمیه </w:t>
      </w:r>
      <w:r w:rsidR="008C67BC" w:rsidRPr="007711F6">
        <w:rPr>
          <w:rFonts w:ascii="NoorLotus" w:hAnsi="NoorLotus" w:cs="NoorLotus"/>
          <w:rtl/>
        </w:rPr>
        <w:lastRenderedPageBreak/>
        <w:t>خواهد بود.</w:t>
      </w:r>
      <w:r w:rsidR="005951EE" w:rsidRPr="007711F6">
        <w:rPr>
          <w:rFonts w:ascii="NoorLotus" w:hAnsi="NoorLotus" w:cs="NoorLotus"/>
          <w:rtl/>
        </w:rPr>
        <w:t xml:space="preserve"> ولی شهید صدر رحمه الله ا</w:t>
      </w:r>
      <w:r w:rsidR="005C7D6B">
        <w:rPr>
          <w:rFonts w:ascii="NoorLotus" w:hAnsi="NoorLotus" w:cs="NoorLotus"/>
          <w:rtl/>
        </w:rPr>
        <w:t>ین مطلب را بیان نمی‌کنند. قدر م</w:t>
      </w:r>
      <w:r w:rsidR="005951EE" w:rsidRPr="007711F6">
        <w:rPr>
          <w:rFonts w:ascii="NoorLotus" w:hAnsi="NoorLotus" w:cs="NoorLotus"/>
          <w:rtl/>
        </w:rPr>
        <w:t>ت</w:t>
      </w:r>
      <w:r w:rsidR="005C7D6B">
        <w:rPr>
          <w:rFonts w:ascii="NoorLotus" w:hAnsi="NoorLotus" w:cs="NoorLotus" w:hint="cs"/>
          <w:rtl/>
        </w:rPr>
        <w:t>ی</w:t>
      </w:r>
      <w:r w:rsidR="005951EE" w:rsidRPr="007711F6">
        <w:rPr>
          <w:rFonts w:ascii="NoorLotus" w:hAnsi="NoorLotus" w:cs="NoorLotus"/>
          <w:rtl/>
        </w:rPr>
        <w:t xml:space="preserve">قن «قف عند  الشبهة» شبهات تحریمیه است </w:t>
      </w:r>
      <w:r w:rsidR="008C67BC" w:rsidRPr="007711F6">
        <w:rPr>
          <w:rFonts w:ascii="NoorLotus" w:hAnsi="NoorLotus" w:cs="NoorLotus"/>
          <w:rtl/>
        </w:rPr>
        <w:t xml:space="preserve">ولی اطلاق آن شامل شبهات وجوبیه نیز می‌شود لذا ذیل مقبوله مثل «اخوک دینک فاحتط لدینک» دلیل بر مطلق احتیاط است چه در شبهات حکمیه و چه در شبهات موضوعیه. </w:t>
      </w:r>
    </w:p>
    <w:p w14:paraId="58106591" w14:textId="11DA6E50" w:rsidR="008C67BC" w:rsidRPr="007711F6" w:rsidRDefault="008412E5" w:rsidP="005D5AE5">
      <w:pPr>
        <w:pStyle w:val="Heading2"/>
        <w:jc w:val="both"/>
        <w:rPr>
          <w:rFonts w:ascii="NoorLotus" w:hAnsi="NoorLotus"/>
          <w:rtl/>
        </w:rPr>
      </w:pPr>
      <w:bookmarkStart w:id="5" w:name="_Toc185945722"/>
      <w:r w:rsidRPr="007711F6">
        <w:rPr>
          <w:rFonts w:ascii="NoorLotus" w:hAnsi="NoorLotus"/>
          <w:rtl/>
        </w:rPr>
        <w:t>اشکال مرحوم شاهرودی در تعلیقه بحوث به کلام شهید صدر رحمه الله</w:t>
      </w:r>
      <w:bookmarkEnd w:id="5"/>
    </w:p>
    <w:p w14:paraId="6BD9FC19" w14:textId="1E9CCCF0" w:rsidR="008C67BC" w:rsidRDefault="008C67BC" w:rsidP="005D5AE5">
      <w:pPr>
        <w:jc w:val="both"/>
        <w:rPr>
          <w:rFonts w:ascii="NoorLotus" w:hAnsi="NoorLotus" w:cs="NoorLotus"/>
          <w:rtl/>
        </w:rPr>
      </w:pPr>
      <w:r w:rsidRPr="007711F6">
        <w:rPr>
          <w:rFonts w:ascii="NoorLotus" w:hAnsi="NoorLotus" w:cs="NoorLotus"/>
          <w:rtl/>
        </w:rPr>
        <w:t>در تعلیقه بحوث</w:t>
      </w:r>
      <w:r w:rsidR="008412E5" w:rsidRPr="007711F6">
        <w:rPr>
          <w:rFonts w:ascii="NoorLotus" w:hAnsi="NoorLotus" w:cs="NoorLotus"/>
          <w:rtl/>
        </w:rPr>
        <w:t xml:space="preserve"> در اشکال به شهید صدر رحمه الله</w:t>
      </w:r>
      <w:r w:rsidRPr="007711F6">
        <w:rPr>
          <w:rFonts w:ascii="NoorLotus" w:hAnsi="NoorLotus" w:cs="NoorLotus"/>
          <w:rtl/>
        </w:rPr>
        <w:t xml:space="preserve"> فرموده‌اند: صحیح‌ترین</w:t>
      </w:r>
      <w:r w:rsidR="008412E5" w:rsidRPr="007711F6">
        <w:rPr>
          <w:rFonts w:ascii="NoorLotus" w:hAnsi="NoorLotus" w:cs="NoorLotus"/>
          <w:rtl/>
        </w:rPr>
        <w:t xml:space="preserve"> </w:t>
      </w:r>
      <w:r w:rsidRPr="007711F6">
        <w:rPr>
          <w:rFonts w:ascii="NoorLotus" w:hAnsi="NoorLotus" w:cs="NoorLotus"/>
          <w:rtl/>
        </w:rPr>
        <w:t>و واضح‌ترین حدیث بر برائت حدیث حجب</w:t>
      </w:r>
      <w:r w:rsidR="008412E5" w:rsidRPr="007711F6">
        <w:rPr>
          <w:rFonts w:ascii="NoorLotus" w:hAnsi="NoorLotus" w:cs="NoorLotus"/>
          <w:rtl/>
        </w:rPr>
        <w:t xml:space="preserve"> یعنی</w:t>
      </w:r>
      <w:r w:rsidRPr="007711F6">
        <w:rPr>
          <w:rFonts w:ascii="NoorLotus" w:hAnsi="NoorLotus" w:cs="NoorLotus"/>
          <w:rtl/>
        </w:rPr>
        <w:t xml:space="preserve"> </w:t>
      </w:r>
      <w:r w:rsidRPr="007711F6">
        <w:rPr>
          <w:rFonts w:ascii="NoorLotus" w:hAnsi="NoorLotus" w:cs="NoorLotus"/>
          <w:color w:val="0070C0"/>
          <w:rtl/>
        </w:rPr>
        <w:t>«ما حجب الله علمه عن العباد فهو موضوع عنهم»</w:t>
      </w:r>
      <w:r w:rsidR="008412E5" w:rsidRPr="007711F6">
        <w:rPr>
          <w:rStyle w:val="FootnoteReference"/>
          <w:rFonts w:ascii="NoorLotus" w:hAnsi="NoorLotus" w:cs="NoorLotus"/>
          <w:rtl/>
        </w:rPr>
        <w:footnoteReference w:id="5"/>
      </w:r>
      <w:r w:rsidR="008412E5" w:rsidRPr="007711F6">
        <w:rPr>
          <w:rFonts w:ascii="NoorLotus" w:hAnsi="NoorLotus" w:cs="NoorLotus"/>
          <w:color w:val="0070C0"/>
          <w:rtl/>
        </w:rPr>
        <w:t xml:space="preserve"> </w:t>
      </w:r>
      <w:r w:rsidR="008412E5" w:rsidRPr="007711F6">
        <w:rPr>
          <w:rFonts w:ascii="NoorLotus" w:hAnsi="NoorLotus" w:cs="NoorLotus"/>
          <w:rtl/>
        </w:rPr>
        <w:t>است</w:t>
      </w:r>
      <w:r w:rsidR="008412E5" w:rsidRPr="007711F6">
        <w:rPr>
          <w:rFonts w:ascii="NoorLotus" w:hAnsi="NoorLotus" w:cs="NoorLotus"/>
          <w:color w:val="0070C0"/>
          <w:rtl/>
        </w:rPr>
        <w:t>.</w:t>
      </w:r>
      <w:r w:rsidRPr="007711F6">
        <w:rPr>
          <w:rFonts w:ascii="NoorLotus" w:hAnsi="NoorLotus" w:cs="NoorLotus"/>
          <w:color w:val="0070C0"/>
          <w:rtl/>
        </w:rPr>
        <w:t xml:space="preserve"> </w:t>
      </w:r>
      <w:r w:rsidRPr="007711F6">
        <w:rPr>
          <w:rFonts w:ascii="NoorLotus" w:hAnsi="NoorLotus" w:cs="NoorLotus"/>
          <w:rtl/>
        </w:rPr>
        <w:t>و این حدیث یا مختص به شبهات حکمیه است چون اسناد حجب به خداوند متعال در بیان احکام است و الا</w:t>
      </w:r>
      <w:r w:rsidR="003C368C" w:rsidRPr="007711F6">
        <w:rPr>
          <w:rFonts w:ascii="NoorLotus" w:hAnsi="NoorLotus" w:cs="NoorLotus"/>
          <w:rtl/>
        </w:rPr>
        <w:t xml:space="preserve"> در</w:t>
      </w:r>
      <w:r w:rsidRPr="007711F6">
        <w:rPr>
          <w:rFonts w:ascii="NoorLotus" w:hAnsi="NoorLotus" w:cs="NoorLotus"/>
          <w:rtl/>
        </w:rPr>
        <w:t xml:space="preserve"> موضوعات </w:t>
      </w:r>
      <w:r w:rsidR="003C368C" w:rsidRPr="007711F6">
        <w:rPr>
          <w:rFonts w:ascii="NoorLotus" w:hAnsi="NoorLotus" w:cs="NoorLotus"/>
          <w:rtl/>
        </w:rPr>
        <w:t xml:space="preserve">که مکلف </w:t>
      </w:r>
      <w:r w:rsidRPr="007711F6">
        <w:rPr>
          <w:rFonts w:ascii="NoorLotus" w:hAnsi="NoorLotus" w:cs="NoorLotus"/>
          <w:rtl/>
        </w:rPr>
        <w:t xml:space="preserve">تکوینا </w:t>
      </w:r>
      <w:r w:rsidR="003C368C" w:rsidRPr="007711F6">
        <w:rPr>
          <w:rFonts w:ascii="NoorLotus" w:hAnsi="NoorLotus" w:cs="NoorLotus"/>
          <w:rtl/>
        </w:rPr>
        <w:t xml:space="preserve">نمی‌داند این </w:t>
      </w:r>
      <w:r w:rsidRPr="007711F6">
        <w:rPr>
          <w:rFonts w:ascii="NoorLotus" w:hAnsi="NoorLotus" w:cs="NoorLotus"/>
          <w:rtl/>
        </w:rPr>
        <w:t xml:space="preserve">مایع خمر است یا نه مصداق «ما حجب الله علمه عن العباد» نیست و اگر نسبت به شبهات موضوعیه </w:t>
      </w:r>
      <w:r w:rsidR="00346EE1" w:rsidRPr="007711F6">
        <w:rPr>
          <w:rFonts w:ascii="NoorLotus" w:hAnsi="NoorLotus" w:cs="NoorLotus"/>
          <w:rtl/>
        </w:rPr>
        <w:t>اطلاق داشته باشد</w:t>
      </w:r>
      <w:r w:rsidR="00E54B93">
        <w:rPr>
          <w:rFonts w:ascii="NoorLotus" w:hAnsi="NoorLotus" w:cs="NoorLotus" w:hint="cs"/>
          <w:rtl/>
        </w:rPr>
        <w:t>،</w:t>
      </w:r>
      <w:r w:rsidR="00346EE1" w:rsidRPr="007711F6">
        <w:rPr>
          <w:rFonts w:ascii="NoorLotus" w:hAnsi="NoorLotus" w:cs="NoorLotus"/>
          <w:rtl/>
        </w:rPr>
        <w:t xml:space="preserve"> </w:t>
      </w:r>
      <w:r w:rsidRPr="007711F6">
        <w:rPr>
          <w:rFonts w:ascii="NoorLotus" w:hAnsi="NoorLotus" w:cs="NoorLotus"/>
          <w:rtl/>
        </w:rPr>
        <w:t>قطعا نمی‌توان</w:t>
      </w:r>
      <w:r w:rsidR="00856F94" w:rsidRPr="007711F6">
        <w:rPr>
          <w:rFonts w:ascii="NoorLotus" w:hAnsi="NoorLotus" w:cs="NoorLotus"/>
          <w:rtl/>
        </w:rPr>
        <w:t xml:space="preserve"> شبهات حکمیه را از تحت آن خارج کرد و</w:t>
      </w:r>
      <w:r w:rsidRPr="007711F6">
        <w:rPr>
          <w:rFonts w:ascii="NoorLotus" w:hAnsi="NoorLotus" w:cs="NoorLotus"/>
          <w:rtl/>
        </w:rPr>
        <w:t xml:space="preserve"> آن را منحصر به شبهات موضوعیه کرد</w:t>
      </w:r>
      <w:r w:rsidR="00856F94" w:rsidRPr="007711F6">
        <w:rPr>
          <w:rFonts w:ascii="NoorLotus" w:hAnsi="NoorLotus" w:cs="NoorLotus"/>
          <w:rtl/>
        </w:rPr>
        <w:t xml:space="preserve"> زیرا قدر متیقن آن برائت در شبهات حکمیه است.</w:t>
      </w:r>
      <w:r w:rsidRPr="007711F6">
        <w:rPr>
          <w:rFonts w:ascii="NoorLotus" w:hAnsi="NoorLotus" w:cs="NoorLotus"/>
          <w:rtl/>
        </w:rPr>
        <w:t xml:space="preserve"> </w:t>
      </w:r>
      <w:r w:rsidR="008D6064" w:rsidRPr="007711F6">
        <w:rPr>
          <w:rFonts w:ascii="NoorLotus" w:hAnsi="NoorLotus" w:cs="NoorLotus"/>
          <w:rtl/>
        </w:rPr>
        <w:t xml:space="preserve">پس در اخبار برائت نیز </w:t>
      </w:r>
      <w:r w:rsidR="00856F94" w:rsidRPr="007711F6">
        <w:rPr>
          <w:rFonts w:ascii="NoorLotus" w:hAnsi="NoorLotus" w:cs="NoorLotus"/>
          <w:rtl/>
        </w:rPr>
        <w:t xml:space="preserve">مثل اخبار احتیاط </w:t>
      </w:r>
      <w:r w:rsidR="008D6064" w:rsidRPr="007711F6">
        <w:rPr>
          <w:rFonts w:ascii="NoorLotus" w:hAnsi="NoorLotus" w:cs="NoorLotus"/>
          <w:rtl/>
        </w:rPr>
        <w:t xml:space="preserve">دو قسم وجود دارد: قسم اول: </w:t>
      </w:r>
      <w:r w:rsidR="0099792A" w:rsidRPr="007711F6">
        <w:rPr>
          <w:rFonts w:ascii="NoorLotus" w:hAnsi="NoorLotus" w:cs="NoorLotus"/>
          <w:rtl/>
        </w:rPr>
        <w:t>حدیث رفع قسم دوم: حدیث حجب</w:t>
      </w:r>
      <w:r w:rsidR="00E00E22" w:rsidRPr="007711F6">
        <w:rPr>
          <w:rFonts w:ascii="NoorLotus" w:hAnsi="NoorLotus" w:cs="NoorLotus"/>
          <w:rtl/>
        </w:rPr>
        <w:t xml:space="preserve">. </w:t>
      </w:r>
      <w:r w:rsidR="00951CA3" w:rsidRPr="007711F6">
        <w:rPr>
          <w:rFonts w:ascii="NoorLotus" w:hAnsi="NoorLotus" w:cs="NoorLotus"/>
          <w:rtl/>
        </w:rPr>
        <w:t xml:space="preserve">و حدیث حجب </w:t>
      </w:r>
      <w:r w:rsidR="0099792A" w:rsidRPr="007711F6">
        <w:rPr>
          <w:rFonts w:ascii="NoorLotus" w:hAnsi="NoorLotus" w:cs="NoorLotus"/>
          <w:rtl/>
        </w:rPr>
        <w:t>معارض با قسم دوم از اخبار احتیاط</w:t>
      </w:r>
      <w:r w:rsidR="00951CA3" w:rsidRPr="007711F6">
        <w:rPr>
          <w:rFonts w:ascii="NoorLotus" w:hAnsi="NoorLotus" w:cs="NoorLotus"/>
          <w:rtl/>
        </w:rPr>
        <w:t xml:space="preserve"> -که دلالت بر وجوب احتیاط در خصوص شبهات حکمیه دارند-</w:t>
      </w:r>
      <w:r w:rsidR="0099792A" w:rsidRPr="007711F6">
        <w:rPr>
          <w:rFonts w:ascii="NoorLotus" w:hAnsi="NoorLotus" w:cs="NoorLotus"/>
          <w:rtl/>
        </w:rPr>
        <w:t xml:space="preserve"> خواهد بود و حدیث رفع نیز با قسم اول از اخبار وجوب احتیاط که به طور مطلق دلالت بر وجوب احتیاط داشت، تعارض می‌کنند. </w:t>
      </w:r>
      <w:r w:rsidR="00C30F1C" w:rsidRPr="007711F6">
        <w:rPr>
          <w:rFonts w:ascii="NoorLotus" w:hAnsi="NoorLotus" w:cs="NoorLotus"/>
          <w:rtl/>
        </w:rPr>
        <w:t xml:space="preserve">و چنین نیست که بعد از تعارض به قسم دوم از اخبار احتیاط رجوع شود زیرا خود آن نیز معارض </w:t>
      </w:r>
      <w:r w:rsidR="00CF416B" w:rsidRPr="007711F6">
        <w:rPr>
          <w:rFonts w:ascii="NoorLotus" w:hAnsi="NoorLotus" w:cs="NoorLotus"/>
          <w:rtl/>
        </w:rPr>
        <w:t>دارد</w:t>
      </w:r>
      <w:r w:rsidR="0058449C" w:rsidRPr="007711F6">
        <w:rPr>
          <w:rStyle w:val="FootnoteReference"/>
          <w:rFonts w:ascii="NoorLotus" w:hAnsi="NoorLotus" w:cs="NoorLotus"/>
          <w:color w:val="0070C0"/>
          <w:rtl/>
        </w:rPr>
        <w:footnoteReference w:id="6"/>
      </w:r>
      <w:r w:rsidR="00CF416B" w:rsidRPr="007711F6">
        <w:rPr>
          <w:rFonts w:ascii="NoorLotus" w:hAnsi="NoorLotus" w:cs="NoorLotus"/>
          <w:rtl/>
        </w:rPr>
        <w:t>.</w:t>
      </w:r>
    </w:p>
    <w:p w14:paraId="0D239206" w14:textId="748FE0B1" w:rsidR="00116319" w:rsidRPr="007711F6" w:rsidRDefault="00116319" w:rsidP="005D5AE5">
      <w:pPr>
        <w:pStyle w:val="Heading3"/>
        <w:rPr>
          <w:rtl/>
        </w:rPr>
      </w:pPr>
      <w:bookmarkStart w:id="6" w:name="_Toc185945723"/>
      <w:r>
        <w:rPr>
          <w:rFonts w:hint="cs"/>
          <w:rtl/>
        </w:rPr>
        <w:t>پاسخ به اشکال مرحوم شاهرودی</w:t>
      </w:r>
      <w:bookmarkEnd w:id="6"/>
    </w:p>
    <w:p w14:paraId="2BE8C5B7" w14:textId="4A00007D" w:rsidR="00C30F1C" w:rsidRPr="007711F6" w:rsidRDefault="00C30F1C" w:rsidP="005D5AE5">
      <w:pPr>
        <w:jc w:val="both"/>
        <w:rPr>
          <w:rFonts w:ascii="NoorLotus" w:hAnsi="NoorLotus" w:cs="NoorLotus"/>
          <w:rtl/>
        </w:rPr>
      </w:pPr>
      <w:r w:rsidRPr="007711F6">
        <w:rPr>
          <w:rFonts w:ascii="NoorLotus" w:hAnsi="NoorLotus" w:cs="NoorLotus"/>
          <w:rtl/>
        </w:rPr>
        <w:t xml:space="preserve">این کلام تمام نیست زیرا </w:t>
      </w:r>
      <w:r w:rsidR="001E6B45" w:rsidRPr="007711F6">
        <w:rPr>
          <w:rFonts w:ascii="NoorLotus" w:hAnsi="NoorLotus" w:cs="NoorLotus"/>
          <w:rtl/>
        </w:rPr>
        <w:t xml:space="preserve">اولا: </w:t>
      </w:r>
      <w:r w:rsidRPr="007711F6">
        <w:rPr>
          <w:rFonts w:ascii="NoorLotus" w:hAnsi="NoorLotus" w:cs="NoorLotus"/>
          <w:rtl/>
        </w:rPr>
        <w:t>حدیث حجب</w:t>
      </w:r>
      <w:r w:rsidR="00CF416B" w:rsidRPr="007711F6">
        <w:rPr>
          <w:rFonts w:ascii="NoorLotus" w:hAnsi="NoorLotus" w:cs="NoorLotus"/>
          <w:rtl/>
        </w:rPr>
        <w:t xml:space="preserve"> حتی از نظر خود ایشان</w:t>
      </w:r>
      <w:r w:rsidR="00116319">
        <w:rPr>
          <w:rFonts w:ascii="NoorLotus" w:hAnsi="NoorLotus" w:cs="NoorLotus" w:hint="cs"/>
          <w:rtl/>
        </w:rPr>
        <w:t xml:space="preserve"> در کتاب اضواء و آراء</w:t>
      </w:r>
      <w:r w:rsidR="00CF416B" w:rsidRPr="007711F6">
        <w:rPr>
          <w:rFonts w:ascii="NoorLotus" w:hAnsi="NoorLotus" w:cs="NoorLotus"/>
          <w:rtl/>
        </w:rPr>
        <w:t xml:space="preserve"> </w:t>
      </w:r>
      <w:r w:rsidRPr="007711F6">
        <w:rPr>
          <w:rFonts w:ascii="NoorLotus" w:hAnsi="NoorLotus" w:cs="NoorLotus"/>
          <w:rtl/>
        </w:rPr>
        <w:t xml:space="preserve">هم سندا و هم دلالتا اشکال دارد. </w:t>
      </w:r>
      <w:r w:rsidR="00F76F2E" w:rsidRPr="007711F6">
        <w:rPr>
          <w:rFonts w:ascii="NoorLotus" w:hAnsi="NoorLotus" w:cs="NoorLotus"/>
          <w:rtl/>
        </w:rPr>
        <w:t>اشکال ایشان به دلالت حدیث حجب در کتاب اضواء</w:t>
      </w:r>
      <w:r w:rsidR="00CF416B" w:rsidRPr="007711F6">
        <w:rPr>
          <w:rFonts w:ascii="NoorLotus" w:hAnsi="NoorLotus" w:cs="NoorLotus"/>
          <w:rtl/>
        </w:rPr>
        <w:t xml:space="preserve"> این است که </w:t>
      </w:r>
      <w:r w:rsidR="001E6B45" w:rsidRPr="007711F6">
        <w:rPr>
          <w:rFonts w:ascii="NoorLotus" w:hAnsi="NoorLotus" w:cs="NoorLotus"/>
          <w:rtl/>
        </w:rPr>
        <w:t xml:space="preserve">حجب در موارد عدم وصول خطاب به مکلف </w:t>
      </w:r>
      <w:r w:rsidR="00F76F2E" w:rsidRPr="007711F6">
        <w:rPr>
          <w:rFonts w:ascii="NoorLotus" w:hAnsi="NoorLotus" w:cs="NoorLotus"/>
          <w:rtl/>
        </w:rPr>
        <w:t xml:space="preserve">مستند </w:t>
      </w:r>
      <w:r w:rsidR="001E6B45" w:rsidRPr="007711F6">
        <w:rPr>
          <w:rFonts w:ascii="NoorLotus" w:hAnsi="NoorLotus" w:cs="NoorLotus"/>
          <w:rtl/>
        </w:rPr>
        <w:t xml:space="preserve">به خداوند متعال نیست بلکه مستند </w:t>
      </w:r>
      <w:r w:rsidR="00F76F2E" w:rsidRPr="007711F6">
        <w:rPr>
          <w:rFonts w:ascii="NoorLotus" w:hAnsi="NoorLotus" w:cs="NoorLotus"/>
          <w:rtl/>
        </w:rPr>
        <w:t>به ظلم ظالمین است</w:t>
      </w:r>
      <w:r w:rsidR="009B168B" w:rsidRPr="007711F6">
        <w:rPr>
          <w:rStyle w:val="FootnoteReference"/>
          <w:rFonts w:ascii="NoorLotus" w:hAnsi="NoorLotus" w:cs="NoorLotus"/>
          <w:color w:val="0070C0"/>
          <w:rtl/>
        </w:rPr>
        <w:footnoteReference w:id="7"/>
      </w:r>
      <w:r w:rsidR="00F76F2E" w:rsidRPr="007711F6">
        <w:rPr>
          <w:rFonts w:ascii="NoorLotus" w:hAnsi="NoorLotus" w:cs="NoorLotus"/>
          <w:rtl/>
        </w:rPr>
        <w:t xml:space="preserve">. </w:t>
      </w:r>
      <w:r w:rsidR="00F22F51" w:rsidRPr="007711F6">
        <w:rPr>
          <w:rFonts w:ascii="NoorLotus" w:hAnsi="NoorLotus" w:cs="NoorLotus"/>
          <w:rtl/>
        </w:rPr>
        <w:t>لذا استدلال</w:t>
      </w:r>
      <w:r w:rsidR="00116319">
        <w:rPr>
          <w:rFonts w:ascii="NoorLotus" w:hAnsi="NoorLotus" w:cs="NoorLotus" w:hint="cs"/>
          <w:rtl/>
        </w:rPr>
        <w:t xml:space="preserve"> ایشان،</w:t>
      </w:r>
      <w:r w:rsidR="00F22F51" w:rsidRPr="007711F6">
        <w:rPr>
          <w:rFonts w:ascii="NoorLotus" w:hAnsi="NoorLotus" w:cs="NoorLotus"/>
          <w:rtl/>
        </w:rPr>
        <w:t xml:space="preserve"> جدلی می‌شود و خود ایشان </w:t>
      </w:r>
      <w:r w:rsidR="001E6B45" w:rsidRPr="007711F6">
        <w:rPr>
          <w:rFonts w:ascii="NoorLotus" w:hAnsi="NoorLotus" w:cs="NoorLotus"/>
          <w:rtl/>
        </w:rPr>
        <w:t xml:space="preserve">نیز </w:t>
      </w:r>
      <w:r w:rsidR="00F22F51" w:rsidRPr="007711F6">
        <w:rPr>
          <w:rFonts w:ascii="NoorLotus" w:hAnsi="NoorLotus" w:cs="NoorLotus"/>
          <w:rtl/>
        </w:rPr>
        <w:t xml:space="preserve">حدیث حجب را قبول ندارند. </w:t>
      </w:r>
    </w:p>
    <w:p w14:paraId="7DDC3516" w14:textId="77777777" w:rsidR="00BF07E2" w:rsidRDefault="003331D7" w:rsidP="005D5AE5">
      <w:pPr>
        <w:jc w:val="both"/>
        <w:rPr>
          <w:rFonts w:ascii="NoorLotus" w:hAnsi="NoorLotus" w:cs="NoorLotus"/>
          <w:rtl/>
        </w:rPr>
      </w:pPr>
      <w:r w:rsidRPr="007711F6">
        <w:rPr>
          <w:rFonts w:ascii="NoorLotus" w:hAnsi="NoorLotus" w:cs="NoorLotus"/>
          <w:rtl/>
        </w:rPr>
        <w:lastRenderedPageBreak/>
        <w:t xml:space="preserve">ثانیا: </w:t>
      </w:r>
      <w:r w:rsidR="009A3D4A" w:rsidRPr="007711F6">
        <w:rPr>
          <w:rFonts w:ascii="NoorLotus" w:hAnsi="NoorLotus" w:cs="NoorLotus"/>
          <w:rtl/>
        </w:rPr>
        <w:t>بر</w:t>
      </w:r>
      <w:r w:rsidR="000004F4" w:rsidRPr="007711F6">
        <w:rPr>
          <w:rFonts w:ascii="NoorLotus" w:hAnsi="NoorLotus" w:cs="NoorLotus"/>
          <w:rtl/>
        </w:rPr>
        <w:t xml:space="preserve"> مواردی که مکلف جهل مرکب به موضوع دارد یا</w:t>
      </w:r>
      <w:r w:rsidR="009A3D4A" w:rsidRPr="007711F6">
        <w:rPr>
          <w:rFonts w:ascii="NoorLotus" w:hAnsi="NoorLotus" w:cs="NoorLotus"/>
          <w:rtl/>
        </w:rPr>
        <w:t xml:space="preserve"> </w:t>
      </w:r>
      <w:r w:rsidR="000004F4" w:rsidRPr="007711F6">
        <w:rPr>
          <w:rFonts w:ascii="NoorLotus" w:hAnsi="NoorLotus" w:cs="NoorLotus"/>
          <w:rtl/>
        </w:rPr>
        <w:t xml:space="preserve">شاک </w:t>
      </w:r>
      <w:r w:rsidR="001E6B45" w:rsidRPr="007711F6">
        <w:rPr>
          <w:rFonts w:ascii="NoorLotus" w:hAnsi="NoorLotus" w:cs="NoorLotus"/>
          <w:rtl/>
        </w:rPr>
        <w:t xml:space="preserve">بعد از فحص است </w:t>
      </w:r>
      <w:r w:rsidR="009A3D4A" w:rsidRPr="007711F6">
        <w:rPr>
          <w:rFonts w:ascii="NoorLotus" w:hAnsi="NoorLotus" w:cs="NoorLotus"/>
          <w:rtl/>
        </w:rPr>
        <w:t>یعنی با تلاش نیز متوجه خمر بودن این مایع نشد</w:t>
      </w:r>
      <w:r w:rsidR="00116319">
        <w:rPr>
          <w:rFonts w:ascii="NoorLotus" w:hAnsi="NoorLotus" w:cs="NoorLotus" w:hint="cs"/>
          <w:rtl/>
        </w:rPr>
        <w:t>ه است</w:t>
      </w:r>
      <w:r w:rsidR="009A3D4A" w:rsidRPr="007711F6">
        <w:rPr>
          <w:rFonts w:ascii="NoorLotus" w:hAnsi="NoorLotus" w:cs="NoorLotus"/>
          <w:rtl/>
        </w:rPr>
        <w:t xml:space="preserve"> </w:t>
      </w:r>
      <w:r w:rsidR="000004F4" w:rsidRPr="007711F6">
        <w:rPr>
          <w:rFonts w:ascii="NoorLotus" w:hAnsi="NoorLotus" w:cs="NoorLotus"/>
          <w:rtl/>
        </w:rPr>
        <w:t xml:space="preserve">«ما حجب الله علمه عن العباد» بر آن صدق می‌کند. </w:t>
      </w:r>
    </w:p>
    <w:p w14:paraId="2161162A" w14:textId="49350105" w:rsidR="000B53E4" w:rsidRPr="007711F6" w:rsidRDefault="00BF07E2" w:rsidP="005D5AE5">
      <w:pPr>
        <w:jc w:val="both"/>
        <w:rPr>
          <w:rFonts w:ascii="NoorLotus" w:hAnsi="NoorLotus" w:cs="NoorLotus"/>
          <w:rtl/>
        </w:rPr>
      </w:pPr>
      <w:r>
        <w:rPr>
          <w:rFonts w:ascii="NoorLotus" w:hAnsi="NoorLotus" w:cs="NoorLotus" w:hint="cs"/>
          <w:rtl/>
        </w:rPr>
        <w:t>ثالثا:</w:t>
      </w:r>
      <w:r w:rsidR="00B27666" w:rsidRPr="007711F6">
        <w:rPr>
          <w:rFonts w:ascii="NoorLotus" w:hAnsi="NoorLotus" w:cs="NoorLotus"/>
          <w:rtl/>
        </w:rPr>
        <w:t xml:space="preserve"> دلیل واضحی بر ای</w:t>
      </w:r>
      <w:r w:rsidR="002036E0" w:rsidRPr="007711F6">
        <w:rPr>
          <w:rFonts w:ascii="NoorLotus" w:hAnsi="NoorLotus" w:cs="NoorLotus"/>
          <w:rtl/>
        </w:rPr>
        <w:t>ن</w:t>
      </w:r>
      <w:r w:rsidR="00B27666" w:rsidRPr="007711F6">
        <w:rPr>
          <w:rFonts w:ascii="NoorLotus" w:hAnsi="NoorLotus" w:cs="NoorLotus"/>
          <w:rtl/>
        </w:rPr>
        <w:t xml:space="preserve"> که</w:t>
      </w:r>
      <w:r w:rsidR="002036E0" w:rsidRPr="007711F6">
        <w:rPr>
          <w:rFonts w:ascii="NoorLotus" w:hAnsi="NoorLotus" w:cs="NoorLotus"/>
          <w:rtl/>
        </w:rPr>
        <w:t xml:space="preserve"> شبهات حکمیه قدر متیقن از حدیث حجب</w:t>
      </w:r>
      <w:r w:rsidR="00B27666" w:rsidRPr="007711F6">
        <w:rPr>
          <w:rFonts w:ascii="NoorLotus" w:hAnsi="NoorLotus" w:cs="NoorLotus"/>
          <w:rtl/>
        </w:rPr>
        <w:t xml:space="preserve"> </w:t>
      </w:r>
      <w:r w:rsidR="002036E0" w:rsidRPr="007711F6">
        <w:rPr>
          <w:rFonts w:ascii="NoorLotus" w:hAnsi="NoorLotus" w:cs="NoorLotus"/>
          <w:rtl/>
        </w:rPr>
        <w:t xml:space="preserve">هستند نیز وجود ندارد. </w:t>
      </w:r>
      <w:r w:rsidR="000B53E4" w:rsidRPr="007711F6">
        <w:rPr>
          <w:rFonts w:ascii="NoorLotus" w:hAnsi="NoorLotus" w:cs="NoorLotus"/>
          <w:rtl/>
        </w:rPr>
        <w:t xml:space="preserve">لذا حدیث حجب نیز مثل حدیث رفع خواهد بود و همان‌طور که می‌توان حدیث رفع را حمل بر شبهات موضوعیه کرد حدیث حجب را نیز می‌توان حمل بر آن کرد. </w:t>
      </w:r>
    </w:p>
    <w:p w14:paraId="03FEB7BD" w14:textId="77777777" w:rsidR="004470EC" w:rsidRDefault="004470EC" w:rsidP="005D5AE5">
      <w:pPr>
        <w:jc w:val="both"/>
        <w:rPr>
          <w:rFonts w:ascii="NoorLotus" w:hAnsi="NoorLotus" w:cs="NoorLotus"/>
          <w:rtl/>
        </w:rPr>
      </w:pPr>
      <w:r>
        <w:rPr>
          <w:rFonts w:ascii="NoorLotus" w:hAnsi="NoorLotus" w:cs="NoorLotus" w:hint="cs"/>
          <w:rtl/>
        </w:rPr>
        <w:t>تذکر این نکته لازم است که</w:t>
      </w:r>
      <w:r w:rsidR="007318F0" w:rsidRPr="007711F6">
        <w:rPr>
          <w:rFonts w:ascii="NoorLotus" w:hAnsi="NoorLotus" w:cs="NoorLotus"/>
          <w:rtl/>
        </w:rPr>
        <w:t xml:space="preserve"> آن بیان ما </w:t>
      </w:r>
      <w:r>
        <w:rPr>
          <w:rFonts w:ascii="NoorLotus" w:hAnsi="NoorLotus" w:cs="NoorLotus" w:hint="cs"/>
          <w:rtl/>
        </w:rPr>
        <w:t>در</w:t>
      </w:r>
      <w:r w:rsidR="007318F0" w:rsidRPr="007711F6">
        <w:rPr>
          <w:rFonts w:ascii="NoorLotus" w:hAnsi="NoorLotus" w:cs="NoorLotus"/>
          <w:rtl/>
        </w:rPr>
        <w:t xml:space="preserve"> </w:t>
      </w:r>
      <w:r w:rsidR="00E61B76" w:rsidRPr="007711F6">
        <w:rPr>
          <w:rFonts w:ascii="NoorLotus" w:hAnsi="NoorLotus" w:cs="NoorLotus"/>
          <w:rtl/>
        </w:rPr>
        <w:t xml:space="preserve">شمول حدیث رفع نسبت به جهل مرکب و غفلت </w:t>
      </w:r>
      <w:r w:rsidR="000B53E4" w:rsidRPr="007711F6">
        <w:rPr>
          <w:rFonts w:ascii="NoorLotus" w:hAnsi="NoorLotus" w:cs="NoorLotus"/>
          <w:rtl/>
        </w:rPr>
        <w:t>راجع به حدیث حجب نیز می‌آید. حدیث حجب</w:t>
      </w:r>
      <w:r>
        <w:rPr>
          <w:rFonts w:ascii="NoorLotus" w:hAnsi="NoorLotus" w:cs="NoorLotus" w:hint="cs"/>
          <w:rtl/>
        </w:rPr>
        <w:t>،</w:t>
      </w:r>
      <w:r w:rsidR="000B53E4" w:rsidRPr="007711F6">
        <w:rPr>
          <w:rFonts w:ascii="NoorLotus" w:hAnsi="NoorLotus" w:cs="NoorLotus"/>
          <w:rtl/>
        </w:rPr>
        <w:t xml:space="preserve"> </w:t>
      </w:r>
      <w:r w:rsidR="00E61B76" w:rsidRPr="007711F6">
        <w:rPr>
          <w:rFonts w:ascii="NoorLotus" w:hAnsi="NoorLotus" w:cs="NoorLotus"/>
          <w:rtl/>
        </w:rPr>
        <w:t xml:space="preserve">شامل </w:t>
      </w:r>
      <w:r w:rsidR="00BF07E2" w:rsidRPr="007711F6">
        <w:rPr>
          <w:rFonts w:ascii="NoorLotus" w:hAnsi="NoorLotus" w:cs="NoorLotus"/>
          <w:rtl/>
        </w:rPr>
        <w:t xml:space="preserve">جهل مرکب و غفلت </w:t>
      </w:r>
      <w:r w:rsidR="00E61B76" w:rsidRPr="007711F6">
        <w:rPr>
          <w:rFonts w:ascii="NoorLotus" w:hAnsi="NoorLotus" w:cs="NoorLotus"/>
          <w:rtl/>
        </w:rPr>
        <w:t>می‌شود که دل</w:t>
      </w:r>
      <w:r w:rsidR="00BF07E2">
        <w:rPr>
          <w:rFonts w:ascii="NoorLotus" w:hAnsi="NoorLotus" w:cs="NoorLotus"/>
          <w:rtl/>
        </w:rPr>
        <w:t xml:space="preserve">یل احتیاط شامل آن‌ها نمی‌شود </w:t>
      </w:r>
      <w:r>
        <w:rPr>
          <w:rFonts w:ascii="NoorLotus" w:hAnsi="NoorLotus" w:cs="NoorLotus" w:hint="cs"/>
          <w:rtl/>
        </w:rPr>
        <w:t>و</w:t>
      </w:r>
      <w:r w:rsidR="00310CBD" w:rsidRPr="007711F6">
        <w:rPr>
          <w:rFonts w:ascii="NoorLotus" w:hAnsi="NoorLotus" w:cs="NoorLotus"/>
          <w:rtl/>
        </w:rPr>
        <w:t xml:space="preserve"> این مطلب </w:t>
      </w:r>
      <w:r w:rsidR="000B53E4" w:rsidRPr="007711F6">
        <w:rPr>
          <w:rFonts w:ascii="NoorLotus" w:hAnsi="NoorLotus" w:cs="NoorLotus"/>
          <w:rtl/>
        </w:rPr>
        <w:t>اساس بحث را عوض می‌ک</w:t>
      </w:r>
      <w:r w:rsidR="00310CBD" w:rsidRPr="007711F6">
        <w:rPr>
          <w:rFonts w:ascii="NoorLotus" w:hAnsi="NoorLotus" w:cs="NoorLotus"/>
          <w:rtl/>
        </w:rPr>
        <w:t>ند</w:t>
      </w:r>
      <w:r>
        <w:rPr>
          <w:rFonts w:ascii="NoorLotus" w:hAnsi="NoorLotus" w:cs="NoorLotus" w:hint="cs"/>
          <w:rtl/>
        </w:rPr>
        <w:t>.</w:t>
      </w:r>
    </w:p>
    <w:p w14:paraId="0EA9DC35" w14:textId="1127CDFD" w:rsidR="000B53E4" w:rsidRPr="007711F6" w:rsidRDefault="000B53E4" w:rsidP="005D5AE5">
      <w:pPr>
        <w:jc w:val="both"/>
        <w:rPr>
          <w:rFonts w:ascii="NoorLotus" w:hAnsi="NoorLotus" w:cs="NoorLotus"/>
          <w:rtl/>
        </w:rPr>
      </w:pPr>
      <w:r w:rsidRPr="007711F6">
        <w:rPr>
          <w:rFonts w:ascii="NoorLotus" w:hAnsi="NoorLotus" w:cs="NoorLotus"/>
          <w:rtl/>
        </w:rPr>
        <w:t xml:space="preserve"> </w:t>
      </w:r>
      <w:r w:rsidR="004470EC">
        <w:rPr>
          <w:rFonts w:ascii="NoorLotus" w:hAnsi="NoorLotus" w:cs="NoorLotus" w:hint="cs"/>
          <w:rtl/>
        </w:rPr>
        <w:t>اما</w:t>
      </w:r>
      <w:r w:rsidRPr="007711F6">
        <w:rPr>
          <w:rFonts w:ascii="NoorLotus" w:hAnsi="NoorLotus" w:cs="NoorLotus"/>
          <w:rtl/>
        </w:rPr>
        <w:t xml:space="preserve"> فرض ما الان این است که حدیث رفع و حدیث حجب شامل غفلت</w:t>
      </w:r>
      <w:r w:rsidR="00310CBD" w:rsidRPr="007711F6">
        <w:rPr>
          <w:rFonts w:ascii="NoorLotus" w:hAnsi="NoorLotus" w:cs="NoorLotus"/>
          <w:rtl/>
        </w:rPr>
        <w:t xml:space="preserve"> و جهل مرکب</w:t>
      </w:r>
      <w:r w:rsidRPr="007711F6">
        <w:rPr>
          <w:rFonts w:ascii="NoorLotus" w:hAnsi="NoorLotus" w:cs="NoorLotus"/>
          <w:rtl/>
        </w:rPr>
        <w:t xml:space="preserve"> نمی‌شود. لذا بر فرض </w:t>
      </w:r>
      <w:r w:rsidR="00152131" w:rsidRPr="007711F6">
        <w:rPr>
          <w:rFonts w:ascii="NoorLotus" w:hAnsi="NoorLotus" w:cs="NoorLotus"/>
          <w:rtl/>
        </w:rPr>
        <w:t xml:space="preserve">که ذیل مقبوله مختص به شبهات حکمیه باشد کلام شهید صدر رحمه الله تمام است. ولی به نظر ما مختص به شبهات حکمیه نیست. </w:t>
      </w:r>
    </w:p>
    <w:p w14:paraId="4D84F9CA" w14:textId="25889F3A" w:rsidR="00152131" w:rsidRPr="007711F6" w:rsidRDefault="00152131" w:rsidP="005D5AE5">
      <w:pPr>
        <w:pStyle w:val="Heading2"/>
        <w:jc w:val="both"/>
        <w:rPr>
          <w:rFonts w:ascii="NoorLotus" w:hAnsi="NoorLotus"/>
          <w:rtl/>
        </w:rPr>
      </w:pPr>
      <w:bookmarkStart w:id="7" w:name="_Toc185945724"/>
      <w:r w:rsidRPr="007711F6">
        <w:rPr>
          <w:rFonts w:ascii="NoorLotus" w:hAnsi="NoorLotus"/>
          <w:rtl/>
        </w:rPr>
        <w:t>مطلب پنجم</w:t>
      </w:r>
      <w:r w:rsidR="009B168B" w:rsidRPr="007711F6">
        <w:rPr>
          <w:rFonts w:ascii="NoorLotus" w:hAnsi="NoorLotus"/>
          <w:rtl/>
        </w:rPr>
        <w:t>: عدم دخل نظریۀ انقلاب نسبت در مقام</w:t>
      </w:r>
      <w:bookmarkEnd w:id="7"/>
    </w:p>
    <w:p w14:paraId="019BE7A2" w14:textId="69A45625" w:rsidR="00815706" w:rsidRPr="007711F6" w:rsidRDefault="00682D7D" w:rsidP="005D5AE5">
      <w:pPr>
        <w:jc w:val="both"/>
        <w:rPr>
          <w:rFonts w:ascii="NoorLotus" w:hAnsi="NoorLotus" w:cs="NoorLotus"/>
          <w:rtl/>
        </w:rPr>
      </w:pPr>
      <w:r w:rsidRPr="007711F6">
        <w:rPr>
          <w:rFonts w:ascii="NoorLotus" w:hAnsi="NoorLotus" w:cs="NoorLotus"/>
          <w:rtl/>
        </w:rPr>
        <w:t>شهید صدر رحمه الله فرموده‌اند:</w:t>
      </w:r>
      <w:r w:rsidR="001D4F6E" w:rsidRPr="007711F6">
        <w:rPr>
          <w:rFonts w:ascii="NoorLotus" w:hAnsi="NoorLotus" w:cs="NoorLotus"/>
          <w:rtl/>
        </w:rPr>
        <w:t xml:space="preserve"> </w:t>
      </w:r>
      <w:r w:rsidR="00815706" w:rsidRPr="007711F6">
        <w:rPr>
          <w:rFonts w:ascii="NoorLotus" w:hAnsi="NoorLotus" w:cs="NoorLotus"/>
          <w:rtl/>
        </w:rPr>
        <w:t>بنا</w:t>
      </w:r>
      <w:r w:rsidR="00AC6B09">
        <w:rPr>
          <w:rFonts w:ascii="NoorLotus" w:hAnsi="NoorLotus" w:cs="NoorLotus" w:hint="cs"/>
          <w:rtl/>
        </w:rPr>
        <w:t xml:space="preserve"> </w:t>
      </w:r>
      <w:r w:rsidR="00815706" w:rsidRPr="007711F6">
        <w:rPr>
          <w:rFonts w:ascii="NoorLotus" w:hAnsi="NoorLotus" w:cs="NoorLotus"/>
          <w:rtl/>
        </w:rPr>
        <w:t xml:space="preserve">بر انصراف حدیث رفع از شبهات مقرون به علم اجمالی و شبهات قبل از فحص نسبت آن با قسم دوم از اخبار احتیاط عموم من وجه است و بعد از تعارض و تساقط به عام فوقانی یعنی قسم اول از اخبار احتیاط </w:t>
      </w:r>
      <w:r w:rsidR="00C028E7" w:rsidRPr="007711F6">
        <w:rPr>
          <w:rFonts w:ascii="NoorLotus" w:hAnsi="NoorLotus" w:cs="NoorLotus"/>
          <w:rtl/>
        </w:rPr>
        <w:t xml:space="preserve">که نسبت به شبهات حکمیه و موضوعیه مطلق بود، </w:t>
      </w:r>
      <w:r w:rsidR="00815706" w:rsidRPr="007711F6">
        <w:rPr>
          <w:rFonts w:ascii="NoorLotus" w:hAnsi="NoorLotus" w:cs="NoorLotus"/>
          <w:rtl/>
        </w:rPr>
        <w:t>رجوع می‌شود</w:t>
      </w:r>
      <w:r w:rsidR="002557CE" w:rsidRPr="007711F6">
        <w:rPr>
          <w:rFonts w:ascii="NoorLotus" w:hAnsi="NoorLotus" w:cs="NoorLotus"/>
          <w:rtl/>
        </w:rPr>
        <w:t xml:space="preserve"> زیرا حدیث رفع با آن معارض نیست چون نسبت آن بعد از انصراف از شبهات مقرون به علم اجمالی و شبهات قبل از فحص با قسم دوم از اخبار احتیاط </w:t>
      </w:r>
      <w:r w:rsidR="00C028E7" w:rsidRPr="007711F6">
        <w:rPr>
          <w:rFonts w:ascii="NoorLotus" w:hAnsi="NoorLotus" w:cs="NoorLotus"/>
          <w:rtl/>
        </w:rPr>
        <w:t>اخص</w:t>
      </w:r>
      <w:r w:rsidR="002557CE" w:rsidRPr="007711F6">
        <w:rPr>
          <w:rFonts w:ascii="NoorLotus" w:hAnsi="NoorLotus" w:cs="NoorLotus"/>
          <w:rtl/>
        </w:rPr>
        <w:t xml:space="preserve"> مطلق است.</w:t>
      </w:r>
      <w:r w:rsidR="00C028E7" w:rsidRPr="007711F6">
        <w:rPr>
          <w:rFonts w:ascii="NoorLotus" w:hAnsi="NoorLotus" w:cs="NoorLotus"/>
          <w:rtl/>
        </w:rPr>
        <w:t xml:space="preserve"> </w:t>
      </w:r>
      <w:r w:rsidR="002A69BA" w:rsidRPr="007711F6">
        <w:rPr>
          <w:rFonts w:ascii="NoorLotus" w:hAnsi="NoorLotus" w:cs="NoorLotus"/>
          <w:rtl/>
        </w:rPr>
        <w:t xml:space="preserve">البته با حدیث حل شبهات موضوعیه نیز از تحت قسم اول از اخبار احتیاط خارج شدند و این مورد نزاع نیست. </w:t>
      </w:r>
      <w:r w:rsidR="002557CE" w:rsidRPr="007711F6">
        <w:rPr>
          <w:rFonts w:ascii="NoorLotus" w:hAnsi="NoorLotus" w:cs="NoorLotus"/>
          <w:rtl/>
        </w:rPr>
        <w:t xml:space="preserve"> </w:t>
      </w:r>
    </w:p>
    <w:p w14:paraId="577A2BD1" w14:textId="68EF993F" w:rsidR="00635676" w:rsidRPr="007711F6" w:rsidRDefault="007F21C5" w:rsidP="005D5AE5">
      <w:pPr>
        <w:jc w:val="both"/>
        <w:rPr>
          <w:rFonts w:ascii="NoorLotus" w:hAnsi="NoorLotus" w:cs="NoorLotus"/>
          <w:rtl/>
        </w:rPr>
      </w:pPr>
      <w:r w:rsidRPr="007711F6">
        <w:rPr>
          <w:rFonts w:ascii="NoorLotus" w:hAnsi="NoorLotus" w:cs="NoorLotus"/>
          <w:rtl/>
        </w:rPr>
        <w:t>و بنا</w:t>
      </w:r>
      <w:r w:rsidR="00AC6B09">
        <w:rPr>
          <w:rFonts w:ascii="NoorLotus" w:hAnsi="NoorLotus" w:cs="NoorLotus" w:hint="cs"/>
          <w:rtl/>
        </w:rPr>
        <w:t xml:space="preserve"> </w:t>
      </w:r>
      <w:r w:rsidRPr="007711F6">
        <w:rPr>
          <w:rFonts w:ascii="NoorLotus" w:hAnsi="NoorLotus" w:cs="NoorLotus"/>
          <w:rtl/>
        </w:rPr>
        <w:t xml:space="preserve">بر عدم انصراف حدیث رفع از شبهات مقرون به علم اجمالی و شبهات بدویه قبل از فحص و </w:t>
      </w:r>
      <w:r w:rsidR="00B15CD1" w:rsidRPr="007711F6">
        <w:rPr>
          <w:rFonts w:ascii="NoorLotus" w:hAnsi="NoorLotus" w:cs="NoorLotus"/>
          <w:rtl/>
        </w:rPr>
        <w:t xml:space="preserve">اطلاق </w:t>
      </w:r>
      <w:r w:rsidRPr="007711F6">
        <w:rPr>
          <w:rFonts w:ascii="NoorLotus" w:hAnsi="NoorLotus" w:cs="NoorLotus"/>
          <w:rtl/>
        </w:rPr>
        <w:t xml:space="preserve">آن نسبت به این شبهات، </w:t>
      </w:r>
      <w:r w:rsidR="00635676" w:rsidRPr="007711F6">
        <w:rPr>
          <w:rFonts w:ascii="NoorLotus" w:hAnsi="NoorLotus" w:cs="NoorLotus"/>
          <w:rtl/>
        </w:rPr>
        <w:t>نسبت آن با قسم اول از اخبار احتیاط که آن نیز مطلق است تباین است تعارض و تساقط می‌کنند و به قسم دوم از اخبار احتیاط رجوع می‌شود که مفاد آن وجوب احتیاط در شبهات حکمیه است</w:t>
      </w:r>
      <w:r w:rsidR="00F41B56" w:rsidRPr="007711F6">
        <w:rPr>
          <w:rFonts w:ascii="NoorLotus" w:hAnsi="NoorLotus" w:cs="NoorLotus"/>
          <w:rtl/>
        </w:rPr>
        <w:t xml:space="preserve"> و با </w:t>
      </w:r>
      <w:r w:rsidR="00F41B56" w:rsidRPr="007711F6">
        <w:rPr>
          <w:rFonts w:ascii="NoorLotus" w:hAnsi="NoorLotus" w:cs="NoorLotus"/>
          <w:rtl/>
        </w:rPr>
        <w:lastRenderedPageBreak/>
        <w:t>هیچ‌کدام از دلیل</w:t>
      </w:r>
      <w:r w:rsidR="00AC6B09">
        <w:rPr>
          <w:rFonts w:ascii="NoorLotus" w:hAnsi="NoorLotus" w:cs="NoorLotus" w:hint="cs"/>
          <w:rtl/>
        </w:rPr>
        <w:t>‌ها</w:t>
      </w:r>
      <w:r w:rsidR="00F41B56" w:rsidRPr="007711F6">
        <w:rPr>
          <w:rFonts w:ascii="NoorLotus" w:hAnsi="NoorLotus" w:cs="NoorLotus"/>
          <w:rtl/>
        </w:rPr>
        <w:t xml:space="preserve"> تعارض نداشت.</w:t>
      </w:r>
      <w:r w:rsidR="00635676" w:rsidRPr="007711F6">
        <w:rPr>
          <w:rFonts w:ascii="NoorLotus" w:hAnsi="NoorLotus" w:cs="NoorLotus"/>
          <w:rtl/>
        </w:rPr>
        <w:t xml:space="preserve"> </w:t>
      </w:r>
      <w:r w:rsidR="00C130AF" w:rsidRPr="007711F6">
        <w:rPr>
          <w:rFonts w:ascii="NoorLotus" w:hAnsi="NoorLotus" w:cs="NoorLotus"/>
          <w:rtl/>
        </w:rPr>
        <w:t xml:space="preserve">و در این مطلب بین قول به انقلاب نسبت و عدم آن فرقی وجود ندارد و در هر دو صورت نتیجه یکسان است. </w:t>
      </w:r>
      <w:r w:rsidR="00AC6B09">
        <w:rPr>
          <w:rFonts w:ascii="NoorLotus" w:hAnsi="NoorLotus" w:cs="NoorLotus"/>
          <w:rtl/>
        </w:rPr>
        <w:t>منتهی تقریب آن تفاوت دارد</w:t>
      </w:r>
      <w:r w:rsidR="00AC6B09">
        <w:rPr>
          <w:rFonts w:ascii="NoorLotus" w:hAnsi="NoorLotus" w:cs="NoorLotus" w:hint="cs"/>
          <w:rtl/>
        </w:rPr>
        <w:t>:</w:t>
      </w:r>
      <w:r w:rsidR="00635676" w:rsidRPr="007711F6">
        <w:rPr>
          <w:rFonts w:ascii="NoorLotus" w:hAnsi="NoorLotus" w:cs="NoorLotus"/>
          <w:rtl/>
        </w:rPr>
        <w:t xml:space="preserve"> </w:t>
      </w:r>
      <w:r w:rsidR="0070467D" w:rsidRPr="007711F6">
        <w:rPr>
          <w:rFonts w:ascii="NoorLotus" w:hAnsi="NoorLotus" w:cs="NoorLotus"/>
          <w:rtl/>
        </w:rPr>
        <w:t>بنا</w:t>
      </w:r>
      <w:r w:rsidR="00AC6B09">
        <w:rPr>
          <w:rFonts w:ascii="NoorLotus" w:hAnsi="NoorLotus" w:cs="NoorLotus" w:hint="cs"/>
          <w:rtl/>
        </w:rPr>
        <w:t xml:space="preserve"> </w:t>
      </w:r>
      <w:r w:rsidR="0070467D" w:rsidRPr="007711F6">
        <w:rPr>
          <w:rFonts w:ascii="NoorLotus" w:hAnsi="NoorLotus" w:cs="NoorLotus"/>
          <w:rtl/>
        </w:rPr>
        <w:t xml:space="preserve">بر قول به انقلاب نسبت </w:t>
      </w:r>
      <w:r w:rsidR="008F4CF2" w:rsidRPr="007711F6">
        <w:rPr>
          <w:rFonts w:ascii="NoorLotus" w:hAnsi="NoorLotus" w:cs="NoorLotus"/>
          <w:rtl/>
        </w:rPr>
        <w:t>مخصص منفصل</w:t>
      </w:r>
      <w:r w:rsidR="00AC6B09">
        <w:rPr>
          <w:rFonts w:ascii="NoorLotus" w:hAnsi="NoorLotus" w:cs="NoorLotus" w:hint="cs"/>
          <w:rtl/>
        </w:rPr>
        <w:t>،</w:t>
      </w:r>
      <w:r w:rsidR="008F4CF2" w:rsidRPr="007711F6">
        <w:rPr>
          <w:rFonts w:ascii="NoorLotus" w:hAnsi="NoorLotus" w:cs="NoorLotus"/>
          <w:rtl/>
        </w:rPr>
        <w:t xml:space="preserve"> شبهات بدویه قبل از فحص و شبهات مقرون به علم اجمالی را از تحت</w:t>
      </w:r>
      <w:r w:rsidR="00A05C69" w:rsidRPr="007711F6">
        <w:rPr>
          <w:rFonts w:ascii="NoorLotus" w:hAnsi="NoorLotus" w:cs="NoorLotus"/>
          <w:rtl/>
        </w:rPr>
        <w:t xml:space="preserve"> حدیث رفع</w:t>
      </w:r>
      <w:r w:rsidR="008F4CF2" w:rsidRPr="007711F6">
        <w:rPr>
          <w:rFonts w:ascii="NoorLotus" w:hAnsi="NoorLotus" w:cs="NoorLotus"/>
          <w:rtl/>
        </w:rPr>
        <w:t xml:space="preserve"> خارج می‌کند و یک مخصص منفصل</w:t>
      </w:r>
      <w:r w:rsidR="00A05C69" w:rsidRPr="007711F6">
        <w:rPr>
          <w:rFonts w:ascii="NoorLotus" w:hAnsi="NoorLotus" w:cs="NoorLotus"/>
          <w:rtl/>
        </w:rPr>
        <w:t xml:space="preserve"> مثل قاعده‌ی حل</w:t>
      </w:r>
      <w:r w:rsidR="008F4CF2" w:rsidRPr="007711F6">
        <w:rPr>
          <w:rFonts w:ascii="NoorLotus" w:hAnsi="NoorLotus" w:cs="NoorLotus"/>
          <w:rtl/>
        </w:rPr>
        <w:t xml:space="preserve"> نیز شبهات موضوعیه را از تحت قسم اول از اخبار احتیاط خارج می‌کند و بعد از </w:t>
      </w:r>
      <w:r w:rsidR="00A05C69" w:rsidRPr="007711F6">
        <w:rPr>
          <w:rFonts w:ascii="NoorLotus" w:hAnsi="NoorLotus" w:cs="NoorLotus"/>
          <w:rtl/>
        </w:rPr>
        <w:t xml:space="preserve">آن نسبت حدیث رفع و قسم اول از اخبار احتیاط که فی حد نفسه و با قطع‌نظر از این تخصیص‌ها تباین </w:t>
      </w:r>
      <w:r w:rsidR="004B4C0E">
        <w:rPr>
          <w:rFonts w:ascii="NoorLotus" w:hAnsi="NoorLotus" w:cs="NoorLotus" w:hint="cs"/>
          <w:rtl/>
        </w:rPr>
        <w:t xml:space="preserve">بود </w:t>
      </w:r>
      <w:r w:rsidR="00A05C69" w:rsidRPr="007711F6">
        <w:rPr>
          <w:rFonts w:ascii="NoorLotus" w:hAnsi="NoorLotus" w:cs="NoorLotus"/>
          <w:rtl/>
        </w:rPr>
        <w:t xml:space="preserve">تبدیل به </w:t>
      </w:r>
      <w:r w:rsidR="008F4CF2" w:rsidRPr="007711F6">
        <w:rPr>
          <w:rFonts w:ascii="NoorLotus" w:hAnsi="NoorLotus" w:cs="NoorLotus"/>
          <w:rtl/>
        </w:rPr>
        <w:t xml:space="preserve">عموم من وجه می‌شود. </w:t>
      </w:r>
      <w:r w:rsidR="004B4C0E">
        <w:rPr>
          <w:rFonts w:ascii="NoorLotus" w:hAnsi="NoorLotus" w:cs="NoorLotus"/>
          <w:rtl/>
        </w:rPr>
        <w:t>مورد افتراق حدیث رفع</w:t>
      </w:r>
      <w:r w:rsidR="004B4C0E">
        <w:rPr>
          <w:rFonts w:ascii="NoorLotus" w:hAnsi="NoorLotus" w:cs="NoorLotus" w:hint="cs"/>
          <w:rtl/>
        </w:rPr>
        <w:t>،</w:t>
      </w:r>
      <w:r w:rsidR="0019133A" w:rsidRPr="007711F6">
        <w:rPr>
          <w:rFonts w:ascii="NoorLotus" w:hAnsi="NoorLotus" w:cs="NoorLotus"/>
          <w:rtl/>
        </w:rPr>
        <w:t xml:space="preserve"> شبهات موضوعیه</w:t>
      </w:r>
      <w:r w:rsidR="004B4C0E">
        <w:rPr>
          <w:rFonts w:ascii="NoorLotus" w:hAnsi="NoorLotus" w:cs="NoorLotus" w:hint="cs"/>
          <w:rtl/>
        </w:rPr>
        <w:t xml:space="preserve"> و</w:t>
      </w:r>
      <w:r w:rsidR="004B4C0E">
        <w:rPr>
          <w:rFonts w:ascii="NoorLotus" w:hAnsi="NoorLotus" w:cs="NoorLotus"/>
          <w:rtl/>
        </w:rPr>
        <w:t xml:space="preserve"> مورد افتراق وجوب احتیاط</w:t>
      </w:r>
      <w:r w:rsidR="004B4C0E">
        <w:rPr>
          <w:rFonts w:ascii="NoorLotus" w:hAnsi="NoorLotus" w:cs="NoorLotus" w:hint="cs"/>
          <w:rtl/>
        </w:rPr>
        <w:t>،</w:t>
      </w:r>
      <w:r w:rsidR="0019133A" w:rsidRPr="007711F6">
        <w:rPr>
          <w:rFonts w:ascii="NoorLotus" w:hAnsi="NoorLotus" w:cs="NoorLotus"/>
          <w:rtl/>
        </w:rPr>
        <w:t xml:space="preserve"> شبهات </w:t>
      </w:r>
      <w:r w:rsidR="00A05C69" w:rsidRPr="007711F6">
        <w:rPr>
          <w:rFonts w:ascii="NoorLotus" w:hAnsi="NoorLotus" w:cs="NoorLotus"/>
          <w:rtl/>
        </w:rPr>
        <w:t xml:space="preserve">حکمیه </w:t>
      </w:r>
      <w:r w:rsidR="0019133A" w:rsidRPr="007711F6">
        <w:rPr>
          <w:rFonts w:ascii="NoorLotus" w:hAnsi="NoorLotus" w:cs="NoorLotus"/>
          <w:rtl/>
        </w:rPr>
        <w:t>بدویه قبل از فحص و شبهات مقرون به علم اجمالی</w:t>
      </w:r>
      <w:r w:rsidR="004B4C0E">
        <w:rPr>
          <w:rFonts w:ascii="NoorLotus" w:hAnsi="NoorLotus" w:cs="NoorLotus" w:hint="cs"/>
          <w:rtl/>
        </w:rPr>
        <w:t xml:space="preserve"> و</w:t>
      </w:r>
      <w:r w:rsidR="0019133A" w:rsidRPr="007711F6">
        <w:rPr>
          <w:rFonts w:ascii="NoorLotus" w:hAnsi="NoorLotus" w:cs="NoorLotus"/>
          <w:rtl/>
        </w:rPr>
        <w:t xml:space="preserve"> مورد اجتماع</w:t>
      </w:r>
      <w:r w:rsidR="004B4C0E">
        <w:rPr>
          <w:rFonts w:ascii="NoorLotus" w:hAnsi="NoorLotus" w:cs="NoorLotus" w:hint="cs"/>
          <w:rtl/>
        </w:rPr>
        <w:t>،</w:t>
      </w:r>
      <w:r w:rsidR="0004393C" w:rsidRPr="007711F6">
        <w:rPr>
          <w:rFonts w:ascii="NoorLotus" w:hAnsi="NoorLotus" w:cs="NoorLotus"/>
          <w:rtl/>
        </w:rPr>
        <w:t xml:space="preserve"> شبهات حکمیه</w:t>
      </w:r>
      <w:r w:rsidR="004B4C0E">
        <w:rPr>
          <w:rFonts w:ascii="NoorLotus" w:hAnsi="NoorLotus" w:cs="NoorLotus" w:hint="cs"/>
          <w:rtl/>
        </w:rPr>
        <w:t xml:space="preserve"> است</w:t>
      </w:r>
      <w:r w:rsidR="007A56F4" w:rsidRPr="007711F6">
        <w:rPr>
          <w:rFonts w:ascii="NoorLotus" w:hAnsi="NoorLotus" w:cs="NoorLotus"/>
          <w:rtl/>
        </w:rPr>
        <w:t xml:space="preserve">. </w:t>
      </w:r>
    </w:p>
    <w:p w14:paraId="37C9FAD0" w14:textId="5FB5AEA2" w:rsidR="0019133A" w:rsidRPr="007711F6" w:rsidRDefault="004B4C0E" w:rsidP="005D5AE5">
      <w:pPr>
        <w:jc w:val="both"/>
        <w:rPr>
          <w:rFonts w:ascii="NoorLotus" w:hAnsi="NoorLotus" w:cs="NoorLotus"/>
          <w:rtl/>
        </w:rPr>
      </w:pPr>
      <w:r>
        <w:rPr>
          <w:rFonts w:ascii="NoorLotus" w:hAnsi="NoorLotus" w:cs="NoorLotus"/>
          <w:rtl/>
        </w:rPr>
        <w:t>انقلاب نسبت که سبب تبد</w:t>
      </w:r>
      <w:r>
        <w:rPr>
          <w:rFonts w:ascii="NoorLotus" w:hAnsi="NoorLotus" w:cs="NoorLotus" w:hint="cs"/>
          <w:rtl/>
        </w:rPr>
        <w:t>ی</w:t>
      </w:r>
      <w:r w:rsidR="0019133A" w:rsidRPr="007711F6">
        <w:rPr>
          <w:rFonts w:ascii="NoorLotus" w:hAnsi="NoorLotus" w:cs="NoorLotus"/>
          <w:rtl/>
        </w:rPr>
        <w:t>ل نسبت از تباین به عموم من وجه شود فایده ندارد و در هر صورت دو دلیل با هم تعارض می‌کنند</w:t>
      </w:r>
      <w:r w:rsidR="002557CE" w:rsidRPr="007711F6">
        <w:rPr>
          <w:rStyle w:val="FootnoteReference"/>
          <w:rFonts w:ascii="NoorLotus" w:hAnsi="NoorLotus" w:cs="NoorLotus"/>
          <w:color w:val="0070C0"/>
          <w:rtl/>
        </w:rPr>
        <w:footnoteReference w:id="8"/>
      </w:r>
      <w:r w:rsidR="0019133A" w:rsidRPr="007711F6">
        <w:rPr>
          <w:rFonts w:ascii="NoorLotus" w:hAnsi="NoorLotus" w:cs="NoorLotus"/>
          <w:rtl/>
        </w:rPr>
        <w:t xml:space="preserve">. </w:t>
      </w:r>
    </w:p>
    <w:p w14:paraId="3ADE7B1C" w14:textId="77777777" w:rsidR="002557CE" w:rsidRPr="007711F6" w:rsidRDefault="007A56F4" w:rsidP="005D5AE5">
      <w:pPr>
        <w:jc w:val="both"/>
        <w:rPr>
          <w:rFonts w:ascii="NoorLotus" w:hAnsi="NoorLotus" w:cs="NoorLotus"/>
          <w:rtl/>
        </w:rPr>
      </w:pPr>
      <w:r w:rsidRPr="007711F6">
        <w:rPr>
          <w:rFonts w:ascii="NoorLotus" w:hAnsi="NoorLotus" w:cs="NoorLotus"/>
          <w:rtl/>
        </w:rPr>
        <w:t xml:space="preserve">این مطلب ایشان درست است. </w:t>
      </w:r>
    </w:p>
    <w:p w14:paraId="70AECCA3" w14:textId="3108BC15" w:rsidR="00F41B56" w:rsidRPr="007711F6" w:rsidRDefault="00F41B56" w:rsidP="005D5AE5">
      <w:pPr>
        <w:jc w:val="both"/>
        <w:rPr>
          <w:rFonts w:ascii="NoorLotus" w:hAnsi="NoorLotus" w:cs="NoorLotus"/>
          <w:rtl/>
        </w:rPr>
      </w:pPr>
      <w:r w:rsidRPr="007711F6">
        <w:rPr>
          <w:rFonts w:ascii="NoorLotus" w:hAnsi="NoorLotus" w:cs="NoorLotus"/>
          <w:rtl/>
        </w:rPr>
        <w:t xml:space="preserve">باید توجه داشت که قسم دوم از اخبار احتیاط نسبت به حدیث رفع اخص مطلق است و حدیث رفع علاوه بر آن مخصص‌های دیگری نیز دارد که شبهات مقرون به علم اجمالی و شبهات قبل از فحص را نیز از تحت آن خارج می‌کنند. </w:t>
      </w:r>
      <w:r w:rsidR="00CE3151" w:rsidRPr="007711F6">
        <w:rPr>
          <w:rFonts w:ascii="NoorLotus" w:hAnsi="NoorLotus" w:cs="NoorLotus"/>
          <w:rtl/>
        </w:rPr>
        <w:t>و این مخصص‌ها در عرض هم حدیث رفع را تخصیص می‌زنند. و نمی‌توان گفت با یکی از این مخصص‌ها حدیث رفع تخصیص زده می‌شود و بعد نسبت عام مخصَّص با خاص دوم لحاظ می‌شود</w:t>
      </w:r>
      <w:r w:rsidR="002557CE" w:rsidRPr="007711F6">
        <w:rPr>
          <w:rFonts w:ascii="NoorLotus" w:hAnsi="NoorLotus" w:cs="NoorLotus"/>
          <w:rtl/>
        </w:rPr>
        <w:t xml:space="preserve"> که ممکن است نسبت آن دو عوض شود و دیگر عام و خاص مط</w:t>
      </w:r>
      <w:r w:rsidR="005D5AE5">
        <w:rPr>
          <w:rFonts w:ascii="NoorLotus" w:hAnsi="NoorLotus" w:cs="NoorLotus" w:hint="cs"/>
          <w:rtl/>
        </w:rPr>
        <w:t>ل</w:t>
      </w:r>
      <w:r w:rsidR="002557CE" w:rsidRPr="007711F6">
        <w:rPr>
          <w:rFonts w:ascii="NoorLotus" w:hAnsi="NoorLotus" w:cs="NoorLotus"/>
          <w:rtl/>
        </w:rPr>
        <w:t>ق نباشد،</w:t>
      </w:r>
      <w:r w:rsidR="00CE3151" w:rsidRPr="007711F6">
        <w:rPr>
          <w:rFonts w:ascii="NoorLotus" w:hAnsi="NoorLotus" w:cs="NoorLotus"/>
          <w:rtl/>
        </w:rPr>
        <w:t xml:space="preserve"> </w:t>
      </w:r>
      <w:r w:rsidR="002557CE" w:rsidRPr="007711F6">
        <w:rPr>
          <w:rFonts w:ascii="NoorLotus" w:hAnsi="NoorLotus" w:cs="NoorLotus"/>
          <w:rtl/>
        </w:rPr>
        <w:t xml:space="preserve">زیرا </w:t>
      </w:r>
      <w:r w:rsidR="00CE3151" w:rsidRPr="007711F6">
        <w:rPr>
          <w:rFonts w:ascii="NoorLotus" w:hAnsi="NoorLotus" w:cs="NoorLotus"/>
          <w:rtl/>
        </w:rPr>
        <w:t xml:space="preserve">چنین انقلاب نسبتی </w:t>
      </w:r>
      <w:r w:rsidR="001B1FDE" w:rsidRPr="007711F6">
        <w:rPr>
          <w:rFonts w:ascii="NoorLotus" w:hAnsi="NoorLotus" w:cs="NoorLotus"/>
          <w:rtl/>
        </w:rPr>
        <w:t>باطل است</w:t>
      </w:r>
      <w:r w:rsidR="00843133" w:rsidRPr="007711F6">
        <w:rPr>
          <w:rFonts w:ascii="NoorLotus" w:hAnsi="NoorLotus" w:cs="NoorLotus"/>
          <w:rtl/>
        </w:rPr>
        <w:t xml:space="preserve"> و کسی قائل به آن نیست بلکه عام فوقانی با دو مخصص در عرض هم و هم‌زمان تخصیص می‌خورد. </w:t>
      </w:r>
    </w:p>
    <w:p w14:paraId="13868C28" w14:textId="2958FE8C" w:rsidR="00643855" w:rsidRPr="007711F6" w:rsidRDefault="00643855" w:rsidP="005D5AE5">
      <w:pPr>
        <w:jc w:val="both"/>
        <w:rPr>
          <w:rFonts w:ascii="NoorLotus" w:hAnsi="NoorLotus" w:cs="NoorLotus"/>
          <w:rtl/>
        </w:rPr>
      </w:pPr>
      <w:r w:rsidRPr="007711F6">
        <w:rPr>
          <w:rFonts w:ascii="NoorLotus" w:hAnsi="NoorLotus" w:cs="NoorLotus"/>
          <w:rtl/>
        </w:rPr>
        <w:t xml:space="preserve">بنابراین </w:t>
      </w:r>
      <w:r w:rsidR="0058449C" w:rsidRPr="007711F6">
        <w:rPr>
          <w:rFonts w:ascii="NoorLotus" w:hAnsi="NoorLotus" w:cs="NoorLotus"/>
          <w:rtl/>
        </w:rPr>
        <w:t xml:space="preserve">با این بیان </w:t>
      </w:r>
      <w:r w:rsidR="005D5AE5">
        <w:rPr>
          <w:rFonts w:ascii="NoorLotus" w:hAnsi="NoorLotus" w:cs="NoorLotus"/>
          <w:rtl/>
        </w:rPr>
        <w:t>قول اخ</w:t>
      </w:r>
      <w:r w:rsidR="005D5AE5">
        <w:rPr>
          <w:rFonts w:ascii="NoorLotus" w:hAnsi="NoorLotus" w:cs="NoorLotus" w:hint="cs"/>
          <w:rtl/>
        </w:rPr>
        <w:t>ب</w:t>
      </w:r>
      <w:r w:rsidRPr="007711F6">
        <w:rPr>
          <w:rFonts w:ascii="NoorLotus" w:hAnsi="NoorLotus" w:cs="NoorLotus"/>
          <w:rtl/>
        </w:rPr>
        <w:t xml:space="preserve">اری یعنی وجوب احتیاط در شبهات حکمیه بعد از فحص ثابت می‌شود. </w:t>
      </w:r>
    </w:p>
    <w:p w14:paraId="32E3C828" w14:textId="3CDEE0D8" w:rsidR="0058449C" w:rsidRPr="007711F6" w:rsidRDefault="0058449C" w:rsidP="005D5AE5">
      <w:pPr>
        <w:jc w:val="both"/>
        <w:rPr>
          <w:rFonts w:ascii="NoorLotus" w:hAnsi="NoorLotus" w:cs="NoorLotus"/>
        </w:rPr>
      </w:pPr>
      <w:r w:rsidRPr="007711F6">
        <w:rPr>
          <w:rFonts w:ascii="NoorLotus" w:hAnsi="NoorLotus" w:cs="NoorLotus"/>
          <w:rtl/>
        </w:rPr>
        <w:t xml:space="preserve">ولی ما جواب از آن را بیان کردیم و ان‌شاء الله در جلسه آینده نیز آن را تکرار خواهیم کرد. </w:t>
      </w:r>
    </w:p>
    <w:sectPr w:rsidR="0058449C" w:rsidRPr="007711F6" w:rsidSect="002930C7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9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EE144" w14:textId="77777777" w:rsidR="006D744D" w:rsidRDefault="006D744D" w:rsidP="002930C7">
      <w:pPr>
        <w:spacing w:after="0" w:line="240" w:lineRule="auto"/>
      </w:pPr>
      <w:r>
        <w:separator/>
      </w:r>
    </w:p>
  </w:endnote>
  <w:endnote w:type="continuationSeparator" w:id="0">
    <w:p w14:paraId="3630590B" w14:textId="77777777" w:rsidR="006D744D" w:rsidRDefault="006D744D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orLotus">
    <w:panose1 w:val="00000000000000000000"/>
    <w:charset w:val="00"/>
    <w:family w:val="auto"/>
    <w:pitch w:val="variable"/>
    <w:sig w:usb0="80002007" w:usb1="80002000" w:usb2="00000008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5E977" w14:textId="77777777" w:rsidR="00765CCB" w:rsidRDefault="00765CCB" w:rsidP="007F1053">
    <w:pPr>
      <w:pStyle w:val="Footer"/>
    </w:pPr>
  </w:p>
  <w:p w14:paraId="307A22EB" w14:textId="77777777" w:rsidR="00765CCB" w:rsidRDefault="00765CCB" w:rsidP="007F1053"/>
  <w:p w14:paraId="589A5D0C" w14:textId="77777777" w:rsidR="00765CCB" w:rsidRDefault="00765CCB"/>
  <w:p w14:paraId="34F080BC" w14:textId="77777777" w:rsidR="00765CCB" w:rsidRDefault="00765CCB"/>
  <w:p w14:paraId="09876AF1" w14:textId="77777777" w:rsidR="00765CCB" w:rsidRDefault="00765CCB" w:rsidP="007F10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51983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98F0B" w14:textId="77777777" w:rsidR="00765CCB" w:rsidRDefault="006D744D" w:rsidP="00822C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AE5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C4178AD" w14:textId="77777777" w:rsidR="00765CCB" w:rsidRDefault="00765CCB" w:rsidP="007F10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59A25" w14:textId="77777777" w:rsidR="006D744D" w:rsidRDefault="006D744D" w:rsidP="002930C7">
      <w:pPr>
        <w:spacing w:after="0" w:line="240" w:lineRule="auto"/>
      </w:pPr>
      <w:r>
        <w:separator/>
      </w:r>
    </w:p>
  </w:footnote>
  <w:footnote w:type="continuationSeparator" w:id="0">
    <w:p w14:paraId="2C600962" w14:textId="77777777" w:rsidR="006D744D" w:rsidRDefault="006D744D" w:rsidP="002930C7">
      <w:pPr>
        <w:spacing w:after="0" w:line="240" w:lineRule="auto"/>
      </w:pPr>
      <w:r>
        <w:continuationSeparator/>
      </w:r>
    </w:p>
  </w:footnote>
  <w:footnote w:id="1">
    <w:p w14:paraId="249CFEED" w14:textId="42B34A99" w:rsidR="007E3516" w:rsidRPr="00703248" w:rsidRDefault="007E3516" w:rsidP="007E3516">
      <w:pPr>
        <w:pStyle w:val="FootnoteText"/>
        <w:bidi/>
        <w:jc w:val="left"/>
        <w:rPr>
          <w:rFonts w:ascii="NoorLotus" w:hAnsi="NoorLotus" w:cs="NoorLotus"/>
          <w:rtl/>
          <w:lang w:bidi="fa-IR"/>
        </w:rPr>
      </w:pPr>
      <w:r w:rsidRPr="00703248">
        <w:rPr>
          <w:rStyle w:val="FootnoteReference"/>
          <w:rFonts w:ascii="NoorLotus" w:eastAsiaTheme="majorEastAsia" w:hAnsi="NoorLotus" w:cs="NoorLotus"/>
        </w:rPr>
        <w:footnoteRef/>
      </w:r>
      <w:r w:rsidRPr="00703248">
        <w:rPr>
          <w:rFonts w:ascii="NoorLotus" w:hAnsi="NoorLotus" w:cs="NoorLotus"/>
          <w:rtl/>
        </w:rPr>
        <w:t>وسائل الشیعة، شیخ حر عاملی، محمد بن حسن</w:t>
      </w:r>
      <w:r w:rsidRPr="00703248">
        <w:rPr>
          <w:rFonts w:ascii="NoorLotus" w:hAnsi="NoorLotus" w:cs="NoorLotus"/>
          <w:rtl/>
          <w:lang w:bidi="fa-IR"/>
        </w:rPr>
        <w:t>، ج27، ص167، ح46.</w:t>
      </w:r>
    </w:p>
  </w:footnote>
  <w:footnote w:id="2">
    <w:p w14:paraId="6546B278" w14:textId="77777777" w:rsidR="007E3516" w:rsidRPr="00703248" w:rsidRDefault="007E3516" w:rsidP="007E3516">
      <w:pPr>
        <w:pStyle w:val="FootnoteText"/>
        <w:bidi/>
        <w:jc w:val="left"/>
        <w:rPr>
          <w:rFonts w:ascii="NoorLotus" w:hAnsi="NoorLotus" w:cs="NoorLotus"/>
          <w:rtl/>
          <w:lang w:bidi="fa-IR"/>
        </w:rPr>
      </w:pPr>
      <w:r w:rsidRPr="00703248">
        <w:rPr>
          <w:rStyle w:val="FootnoteReference"/>
          <w:rFonts w:ascii="NoorLotus" w:eastAsiaTheme="majorEastAsia" w:hAnsi="NoorLotus" w:cs="NoorLotus"/>
        </w:rPr>
        <w:footnoteRef/>
      </w:r>
      <w:r w:rsidRPr="00703248">
        <w:rPr>
          <w:rFonts w:ascii="NoorLotus" w:hAnsi="NoorLotus" w:cs="NoorLotus"/>
          <w:rtl/>
          <w:lang w:bidi="fa-IR"/>
        </w:rPr>
        <w:t>همان، ج27، ص119، ح35.</w:t>
      </w:r>
    </w:p>
  </w:footnote>
  <w:footnote w:id="3">
    <w:p w14:paraId="599BB087" w14:textId="0FEAFBC0" w:rsidR="00392CC9" w:rsidRPr="00703248" w:rsidRDefault="00392CC9" w:rsidP="00392CC9">
      <w:pPr>
        <w:pStyle w:val="FootnoteText"/>
        <w:bidi/>
        <w:jc w:val="left"/>
        <w:rPr>
          <w:rFonts w:ascii="NoorLotus" w:hAnsi="NoorLotus" w:cs="NoorLotus"/>
          <w:rtl/>
          <w:lang w:bidi="fa-IR"/>
        </w:rPr>
      </w:pPr>
      <w:r w:rsidRPr="00703248">
        <w:rPr>
          <w:rStyle w:val="FootnoteReference"/>
          <w:rFonts w:ascii="NoorLotus" w:hAnsi="NoorLotus" w:cs="NoorLotus"/>
        </w:rPr>
        <w:footnoteRef/>
      </w:r>
      <w:r w:rsidRPr="00703248">
        <w:rPr>
          <w:rFonts w:ascii="NoorLotus" w:hAnsi="NoorLotus" w:cs="NoorLotus"/>
          <w:rtl/>
          <w:lang w:bidi="fa-IR"/>
        </w:rPr>
        <w:t>مباحث الاصول (دار البشیر)، صدر، محمد باقر، ج5، ص103</w:t>
      </w:r>
      <w:r w:rsidR="0058449C" w:rsidRPr="00703248">
        <w:rPr>
          <w:rFonts w:ascii="NoorLotus" w:hAnsi="NoorLotus" w:cs="NoorLotus"/>
          <w:rtl/>
          <w:lang w:bidi="fa-IR"/>
        </w:rPr>
        <w:t>؛ بحوث فی علم الاصول، صدر، محمد باقر، ج5، ص103.</w:t>
      </w:r>
    </w:p>
  </w:footnote>
  <w:footnote w:id="4">
    <w:p w14:paraId="10B4127D" w14:textId="77777777" w:rsidR="00392CC9" w:rsidRPr="00703248" w:rsidRDefault="00392CC9" w:rsidP="00392CC9">
      <w:pPr>
        <w:pStyle w:val="FootnoteText"/>
        <w:bidi/>
        <w:jc w:val="left"/>
        <w:rPr>
          <w:rFonts w:ascii="NoorLotus" w:hAnsi="NoorLotus" w:cs="NoorLotus"/>
          <w:rtl/>
          <w:lang w:bidi="fa-IR"/>
        </w:rPr>
      </w:pPr>
      <w:r w:rsidRPr="00703248">
        <w:rPr>
          <w:rStyle w:val="FootnoteReference"/>
          <w:rFonts w:ascii="NoorLotus" w:eastAsiaTheme="majorEastAsia" w:hAnsi="NoorLotus" w:cs="NoorLotus"/>
        </w:rPr>
        <w:footnoteRef/>
      </w:r>
      <w:r w:rsidRPr="00703248">
        <w:rPr>
          <w:rFonts w:ascii="NoorLotus" w:hAnsi="NoorLotus" w:cs="NoorLotus"/>
          <w:rtl/>
          <w:lang w:bidi="fa-IR"/>
        </w:rPr>
        <w:t>همان، ج27، ص119، ح35.</w:t>
      </w:r>
    </w:p>
  </w:footnote>
  <w:footnote w:id="5">
    <w:p w14:paraId="430D81F1" w14:textId="77777777" w:rsidR="008412E5" w:rsidRPr="00703248" w:rsidRDefault="008412E5" w:rsidP="008412E5">
      <w:pPr>
        <w:pStyle w:val="FootnoteText"/>
        <w:bidi/>
        <w:jc w:val="both"/>
        <w:rPr>
          <w:rFonts w:ascii="NoorLotus" w:hAnsi="NoorLotus" w:cs="NoorLotus"/>
          <w:rtl/>
          <w:lang w:bidi="fa-IR"/>
        </w:rPr>
      </w:pPr>
      <w:r w:rsidRPr="00703248">
        <w:rPr>
          <w:rStyle w:val="FootnoteReference"/>
          <w:rFonts w:ascii="NoorLotus" w:eastAsiaTheme="majorEastAsia" w:hAnsi="NoorLotus" w:cs="NoorLotus"/>
        </w:rPr>
        <w:footnoteRef/>
      </w:r>
      <w:r w:rsidRPr="00703248">
        <w:rPr>
          <w:rFonts w:ascii="NoorLotus" w:hAnsi="NoorLotus" w:cs="NoorLotus"/>
          <w:rtl/>
        </w:rPr>
        <w:t>التوحید، صدوق، ابن بابویه، محمد بن علی، ص413؛ وسائل الشیعة، شیخ حر عاملی، محمد بن حسن، ج27، ص163، ح33</w:t>
      </w:r>
      <w:r w:rsidRPr="00703248">
        <w:rPr>
          <w:rFonts w:ascii="NoorLotus" w:hAnsi="NoorLotus" w:cs="NoorLotus"/>
        </w:rPr>
        <w:t>.</w:t>
      </w:r>
    </w:p>
  </w:footnote>
  <w:footnote w:id="6">
    <w:p w14:paraId="1C2DAB1A" w14:textId="797F8479" w:rsidR="0058449C" w:rsidRPr="00703248" w:rsidRDefault="0058449C" w:rsidP="0058449C">
      <w:pPr>
        <w:pStyle w:val="FootnoteText"/>
        <w:bidi/>
        <w:jc w:val="left"/>
        <w:rPr>
          <w:rFonts w:ascii="NoorLotus" w:hAnsi="NoorLotus" w:cs="NoorLotus"/>
          <w:rtl/>
          <w:lang w:bidi="fa-IR"/>
        </w:rPr>
      </w:pPr>
      <w:r w:rsidRPr="00703248">
        <w:rPr>
          <w:rStyle w:val="FootnoteReference"/>
          <w:rFonts w:ascii="NoorLotus" w:eastAsiaTheme="majorEastAsia" w:hAnsi="NoorLotus" w:cs="NoorLotus"/>
        </w:rPr>
        <w:footnoteRef/>
      </w:r>
      <w:r w:rsidRPr="00703248">
        <w:rPr>
          <w:rFonts w:ascii="NoorLotus" w:hAnsi="NoorLotus" w:cs="NoorLotus"/>
        </w:rPr>
        <w:t xml:space="preserve"> </w:t>
      </w:r>
      <w:r w:rsidRPr="00703248">
        <w:rPr>
          <w:rFonts w:ascii="NoorLotus" w:hAnsi="NoorLotus" w:cs="NoorLotus"/>
          <w:rtl/>
        </w:rPr>
        <w:t>بحوث فی علم الاصول</w:t>
      </w:r>
      <w:r w:rsidRPr="00703248">
        <w:rPr>
          <w:rFonts w:ascii="NoorLotus" w:hAnsi="NoorLotus" w:cs="NoorLotus"/>
          <w:rtl/>
          <w:lang w:bidi="fa-IR"/>
        </w:rPr>
        <w:t xml:space="preserve"> (تعلیقه)</w:t>
      </w:r>
      <w:r w:rsidRPr="00703248">
        <w:rPr>
          <w:rFonts w:ascii="NoorLotus" w:hAnsi="NoorLotus" w:cs="NoorLotus"/>
          <w:rtl/>
        </w:rPr>
        <w:t>، صدر، محمد باقر، ج5، ص103.</w:t>
      </w:r>
      <w:r w:rsidR="009B168B" w:rsidRPr="00703248">
        <w:rPr>
          <w:rFonts w:ascii="NoorLotus" w:hAnsi="NoorLotus" w:cs="NoorLotus"/>
          <w:rtl/>
          <w:lang w:bidi="fa-IR"/>
        </w:rPr>
        <w:t xml:space="preserve"> اضواء و آراء، ج2، ص384-485.</w:t>
      </w:r>
    </w:p>
  </w:footnote>
  <w:footnote w:id="7">
    <w:p w14:paraId="7FD943E3" w14:textId="4304C25C" w:rsidR="009B168B" w:rsidRPr="00703248" w:rsidRDefault="009B168B" w:rsidP="009B168B">
      <w:pPr>
        <w:pStyle w:val="FootnoteText"/>
        <w:bidi/>
        <w:jc w:val="left"/>
        <w:rPr>
          <w:rFonts w:ascii="NoorLotus" w:hAnsi="NoorLotus" w:cs="NoorLotus"/>
          <w:rtl/>
          <w:lang w:bidi="fa-IR"/>
        </w:rPr>
      </w:pPr>
      <w:r w:rsidRPr="00703248">
        <w:rPr>
          <w:rStyle w:val="FootnoteReference"/>
          <w:rFonts w:ascii="NoorLotus" w:eastAsiaTheme="majorEastAsia" w:hAnsi="NoorLotus" w:cs="NoorLotus"/>
        </w:rPr>
        <w:footnoteRef/>
      </w:r>
      <w:r w:rsidRPr="00703248">
        <w:rPr>
          <w:rFonts w:ascii="NoorLotus" w:hAnsi="NoorLotus" w:cs="NoorLotus"/>
        </w:rPr>
        <w:t xml:space="preserve"> </w:t>
      </w:r>
      <w:r w:rsidRPr="00703248">
        <w:rPr>
          <w:rFonts w:ascii="NoorLotus" w:hAnsi="NoorLotus" w:cs="NoorLotus"/>
          <w:rtl/>
        </w:rPr>
        <w:t>بحوث فی علم الاصول</w:t>
      </w:r>
      <w:r w:rsidRPr="00703248">
        <w:rPr>
          <w:rFonts w:ascii="NoorLotus" w:hAnsi="NoorLotus" w:cs="NoorLotus"/>
          <w:rtl/>
          <w:lang w:bidi="fa-IR"/>
        </w:rPr>
        <w:t xml:space="preserve"> (تعلیقه)</w:t>
      </w:r>
      <w:r w:rsidRPr="00703248">
        <w:rPr>
          <w:rFonts w:ascii="NoorLotus" w:hAnsi="NoorLotus" w:cs="NoorLotus"/>
          <w:rtl/>
        </w:rPr>
        <w:t xml:space="preserve">، صدر، محمد باقر، ج5، ص64؛ </w:t>
      </w:r>
      <w:r w:rsidRPr="00703248">
        <w:rPr>
          <w:rFonts w:ascii="NoorLotus" w:hAnsi="NoorLotus" w:cs="NoorLotus"/>
          <w:rtl/>
          <w:lang w:bidi="fa-IR"/>
        </w:rPr>
        <w:t>اضواء و آراء، ج2، ص384-485.</w:t>
      </w:r>
    </w:p>
  </w:footnote>
  <w:footnote w:id="8">
    <w:p w14:paraId="108D885A" w14:textId="07D87B40" w:rsidR="002557CE" w:rsidRPr="00703248" w:rsidRDefault="002557CE" w:rsidP="002557CE">
      <w:pPr>
        <w:pStyle w:val="FootnoteText"/>
        <w:bidi/>
        <w:jc w:val="left"/>
        <w:rPr>
          <w:rFonts w:ascii="NoorLotus" w:hAnsi="NoorLotus" w:cs="NoorLotus"/>
        </w:rPr>
      </w:pPr>
      <w:r w:rsidRPr="00703248">
        <w:rPr>
          <w:rStyle w:val="FootnoteReference"/>
          <w:rFonts w:ascii="NoorLotus" w:eastAsiaTheme="majorEastAsia" w:hAnsi="NoorLotus" w:cs="NoorLotus"/>
        </w:rPr>
        <w:footnoteRef/>
      </w:r>
      <w:r w:rsidRPr="00703248">
        <w:rPr>
          <w:rFonts w:ascii="NoorLotus" w:hAnsi="NoorLotus" w:cs="NoorLotus"/>
        </w:rPr>
        <w:t xml:space="preserve"> </w:t>
      </w:r>
      <w:r w:rsidRPr="00703248">
        <w:rPr>
          <w:rFonts w:ascii="NoorLotus" w:hAnsi="NoorLotus" w:cs="NoorLotus"/>
          <w:rtl/>
        </w:rPr>
        <w:t>بحوث فی علم الاصول، صدر، محمد باقر، ج5، ص</w:t>
      </w:r>
      <w:r w:rsidR="00CD451C" w:rsidRPr="00703248">
        <w:rPr>
          <w:rFonts w:ascii="NoorLotus" w:hAnsi="NoorLotus" w:cs="NoorLotus"/>
          <w:rtl/>
        </w:rPr>
        <w:t>103</w:t>
      </w:r>
      <w:r w:rsidR="00481AEF" w:rsidRPr="00703248">
        <w:rPr>
          <w:rFonts w:ascii="NoorLotus" w:hAnsi="NoorLotus" w:cs="NoorLotus"/>
          <w:rtl/>
        </w:rPr>
        <w:t>-104.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FAE21" w14:textId="77777777" w:rsidR="00765CCB" w:rsidRDefault="00765CCB" w:rsidP="007F1053">
    <w:pPr>
      <w:pStyle w:val="Header"/>
    </w:pPr>
  </w:p>
  <w:p w14:paraId="70D7DEFC" w14:textId="77777777" w:rsidR="00765CCB" w:rsidRDefault="00765CCB" w:rsidP="007F1053"/>
  <w:p w14:paraId="24924FD3" w14:textId="77777777" w:rsidR="00765CCB" w:rsidRDefault="00765CCB"/>
  <w:p w14:paraId="1C0D293F" w14:textId="77777777" w:rsidR="00765CCB" w:rsidRDefault="00765CCB"/>
  <w:p w14:paraId="3FF41653" w14:textId="77777777" w:rsidR="00765CCB" w:rsidRDefault="00765CCB" w:rsidP="007F10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21EFB" w14:textId="7927D672" w:rsidR="00765CCB" w:rsidRPr="007711F6" w:rsidRDefault="006D744D" w:rsidP="007711F6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left" w:pos="720"/>
        <w:tab w:val="left" w:pos="4095"/>
      </w:tabs>
      <w:jc w:val="both"/>
      <w:rPr>
        <w:b w:val="0"/>
        <w:bCs w:val="0"/>
        <w:sz w:val="20"/>
        <w:szCs w:val="24"/>
      </w:rPr>
    </w:pPr>
    <w:r w:rsidRPr="007711F6">
      <w:rPr>
        <w:rFonts w:hint="cs"/>
        <w:b w:val="0"/>
        <w:bCs w:val="0"/>
        <w:sz w:val="18"/>
        <w:szCs w:val="18"/>
        <w:rtl/>
      </w:rPr>
      <w:t>درس خارج اصول استاد شهیدی حفظه الله (دوره سوم، سال ششم)</w:t>
    </w:r>
    <w:r w:rsidR="007711F6">
      <w:rPr>
        <w:rFonts w:hint="cs"/>
        <w:b w:val="0"/>
        <w:bCs w:val="0"/>
        <w:sz w:val="18"/>
        <w:szCs w:val="18"/>
        <w:rtl/>
      </w:rPr>
      <w:t xml:space="preserve">         </w:t>
    </w:r>
    <w:r w:rsidRPr="007711F6">
      <w:rPr>
        <w:rFonts w:hint="cs"/>
        <w:b w:val="0"/>
        <w:bCs w:val="0"/>
        <w:sz w:val="18"/>
        <w:szCs w:val="18"/>
        <w:rtl/>
      </w:rPr>
      <w:tab/>
    </w:r>
    <w:r w:rsidRPr="007711F6">
      <w:rPr>
        <w:rFonts w:hint="cs"/>
        <w:b w:val="0"/>
        <w:bCs w:val="0"/>
        <w:sz w:val="18"/>
        <w:szCs w:val="18"/>
        <w:rtl/>
      </w:rPr>
      <w:tab/>
    </w:r>
    <w:r w:rsidR="007711F6">
      <w:rPr>
        <w:rFonts w:hint="cs"/>
        <w:b w:val="0"/>
        <w:bCs w:val="0"/>
        <w:sz w:val="18"/>
        <w:szCs w:val="18"/>
        <w:rtl/>
      </w:rPr>
      <w:t xml:space="preserve">                                                                                </w:t>
    </w:r>
    <w:r w:rsidRPr="007711F6">
      <w:rPr>
        <w:rFonts w:hint="cs"/>
        <w:b w:val="0"/>
        <w:bCs w:val="0"/>
        <w:sz w:val="18"/>
        <w:szCs w:val="18"/>
        <w:rtl/>
      </w:rPr>
      <w:t>جلسه:</w:t>
    </w:r>
    <w:r w:rsidR="002930C7" w:rsidRPr="007711F6">
      <w:rPr>
        <w:rFonts w:hint="cs"/>
        <w:b w:val="0"/>
        <w:bCs w:val="0"/>
        <w:sz w:val="18"/>
        <w:szCs w:val="18"/>
        <w:rtl/>
      </w:rPr>
      <w:t>65</w:t>
    </w:r>
    <w:r w:rsidRPr="007711F6">
      <w:rPr>
        <w:b w:val="0"/>
        <w:bCs w:val="0"/>
        <w:sz w:val="18"/>
        <w:szCs w:val="18"/>
        <w:rtl/>
      </w:rPr>
      <w:t>(تاری</w:t>
    </w:r>
    <w:r w:rsidRPr="007711F6">
      <w:rPr>
        <w:rFonts w:hint="cs"/>
        <w:b w:val="0"/>
        <w:bCs w:val="0"/>
        <w:sz w:val="18"/>
        <w:szCs w:val="18"/>
        <w:rtl/>
      </w:rPr>
      <w:t>خ:</w:t>
    </w:r>
    <w:r w:rsidR="002930C7" w:rsidRPr="007711F6">
      <w:rPr>
        <w:rFonts w:hint="cs"/>
        <w:b w:val="0"/>
        <w:bCs w:val="0"/>
        <w:sz w:val="18"/>
        <w:szCs w:val="18"/>
        <w:rtl/>
      </w:rPr>
      <w:t>3</w:t>
    </w:r>
    <w:r w:rsidRPr="007711F6">
      <w:rPr>
        <w:rFonts w:hint="cs"/>
        <w:b w:val="0"/>
        <w:bCs w:val="0"/>
        <w:sz w:val="18"/>
        <w:szCs w:val="18"/>
        <w:rtl/>
      </w:rPr>
      <w:t>/10</w:t>
    </w:r>
    <w:r w:rsidRPr="007711F6">
      <w:rPr>
        <w:b w:val="0"/>
        <w:bCs w:val="0"/>
        <w:sz w:val="18"/>
        <w:szCs w:val="18"/>
        <w:rtl/>
      </w:rPr>
      <w:t>/</w:t>
    </w:r>
    <w:r w:rsidRPr="007711F6">
      <w:rPr>
        <w:rFonts w:hint="cs"/>
        <w:b w:val="0"/>
        <w:bCs w:val="0"/>
        <w:sz w:val="18"/>
        <w:szCs w:val="18"/>
        <w:rtl/>
      </w:rPr>
      <w:t>1403</w:t>
    </w:r>
    <w:r w:rsidRPr="007711F6">
      <w:rPr>
        <w:b w:val="0"/>
        <w:bCs w:val="0"/>
        <w:sz w:val="18"/>
        <w:szCs w:val="18"/>
        <w:rtl/>
      </w:rPr>
      <w:t>)</w:t>
    </w:r>
    <w:r w:rsidRPr="007711F6">
      <w:rPr>
        <w:b w:val="0"/>
        <w:bCs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C7"/>
    <w:rsid w:val="000004F4"/>
    <w:rsid w:val="0004393C"/>
    <w:rsid w:val="000969D0"/>
    <w:rsid w:val="000B53E4"/>
    <w:rsid w:val="000C323A"/>
    <w:rsid w:val="000D120D"/>
    <w:rsid w:val="000F717D"/>
    <w:rsid w:val="00116319"/>
    <w:rsid w:val="00121BE8"/>
    <w:rsid w:val="00147A3E"/>
    <w:rsid w:val="00152131"/>
    <w:rsid w:val="001544CB"/>
    <w:rsid w:val="001877DD"/>
    <w:rsid w:val="0019133A"/>
    <w:rsid w:val="001953E0"/>
    <w:rsid w:val="001B1FDE"/>
    <w:rsid w:val="001D4F6E"/>
    <w:rsid w:val="001E6B45"/>
    <w:rsid w:val="002036E0"/>
    <w:rsid w:val="002557CE"/>
    <w:rsid w:val="00262C64"/>
    <w:rsid w:val="002930C7"/>
    <w:rsid w:val="0029768D"/>
    <w:rsid w:val="002A69BA"/>
    <w:rsid w:val="002E3389"/>
    <w:rsid w:val="00310CBD"/>
    <w:rsid w:val="003331D7"/>
    <w:rsid w:val="00345FF6"/>
    <w:rsid w:val="00346EE1"/>
    <w:rsid w:val="00392CC9"/>
    <w:rsid w:val="003B4B10"/>
    <w:rsid w:val="003C368C"/>
    <w:rsid w:val="003D0672"/>
    <w:rsid w:val="00427E64"/>
    <w:rsid w:val="004470EC"/>
    <w:rsid w:val="004720DA"/>
    <w:rsid w:val="00481AEF"/>
    <w:rsid w:val="004966C7"/>
    <w:rsid w:val="004B4C0E"/>
    <w:rsid w:val="004C0A63"/>
    <w:rsid w:val="004F74F2"/>
    <w:rsid w:val="005118F9"/>
    <w:rsid w:val="0058449C"/>
    <w:rsid w:val="005951EE"/>
    <w:rsid w:val="005A0CB4"/>
    <w:rsid w:val="005C6329"/>
    <w:rsid w:val="005C7D6B"/>
    <w:rsid w:val="005D5AE5"/>
    <w:rsid w:val="00635676"/>
    <w:rsid w:val="00643855"/>
    <w:rsid w:val="00682D7D"/>
    <w:rsid w:val="006926CE"/>
    <w:rsid w:val="006D744D"/>
    <w:rsid w:val="00703248"/>
    <w:rsid w:val="0070467D"/>
    <w:rsid w:val="007318F0"/>
    <w:rsid w:val="00751C5B"/>
    <w:rsid w:val="00765CCB"/>
    <w:rsid w:val="007711F6"/>
    <w:rsid w:val="007A56F4"/>
    <w:rsid w:val="007A69E4"/>
    <w:rsid w:val="007E3516"/>
    <w:rsid w:val="007F21C5"/>
    <w:rsid w:val="008066D6"/>
    <w:rsid w:val="00815706"/>
    <w:rsid w:val="008412E5"/>
    <w:rsid w:val="008414F8"/>
    <w:rsid w:val="00843133"/>
    <w:rsid w:val="00845A88"/>
    <w:rsid w:val="00856F94"/>
    <w:rsid w:val="008C67BC"/>
    <w:rsid w:val="008D6064"/>
    <w:rsid w:val="008F4CF2"/>
    <w:rsid w:val="0094056C"/>
    <w:rsid w:val="009422EB"/>
    <w:rsid w:val="00951CA3"/>
    <w:rsid w:val="0099792A"/>
    <w:rsid w:val="009A3D4A"/>
    <w:rsid w:val="009B168B"/>
    <w:rsid w:val="009F6921"/>
    <w:rsid w:val="00A05C69"/>
    <w:rsid w:val="00AA4861"/>
    <w:rsid w:val="00AC6B09"/>
    <w:rsid w:val="00AD03AD"/>
    <w:rsid w:val="00AD1523"/>
    <w:rsid w:val="00B15CD1"/>
    <w:rsid w:val="00B27666"/>
    <w:rsid w:val="00B47519"/>
    <w:rsid w:val="00B73C20"/>
    <w:rsid w:val="00BA0980"/>
    <w:rsid w:val="00BA6477"/>
    <w:rsid w:val="00BD5D35"/>
    <w:rsid w:val="00BF07E2"/>
    <w:rsid w:val="00C028E7"/>
    <w:rsid w:val="00C130AF"/>
    <w:rsid w:val="00C15AAD"/>
    <w:rsid w:val="00C30F1C"/>
    <w:rsid w:val="00C849FF"/>
    <w:rsid w:val="00CD451C"/>
    <w:rsid w:val="00CD57B3"/>
    <w:rsid w:val="00CE3151"/>
    <w:rsid w:val="00CF416B"/>
    <w:rsid w:val="00D11F5D"/>
    <w:rsid w:val="00D50B47"/>
    <w:rsid w:val="00D83C4F"/>
    <w:rsid w:val="00D9610D"/>
    <w:rsid w:val="00DB14B8"/>
    <w:rsid w:val="00DE0DC4"/>
    <w:rsid w:val="00E00E22"/>
    <w:rsid w:val="00E54B93"/>
    <w:rsid w:val="00E61B76"/>
    <w:rsid w:val="00F22F51"/>
    <w:rsid w:val="00F41B56"/>
    <w:rsid w:val="00F7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11BB3"/>
  <w15:chartTrackingRefBased/>
  <w15:docId w15:val="{004146ED-5706-4B57-A9FF-32D724AF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0C7"/>
    <w:pPr>
      <w:bidi/>
      <w:spacing w:after="200" w:line="276" w:lineRule="auto"/>
    </w:pPr>
    <w:rPr>
      <w:rFonts w:cs="B Badr"/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1F6"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="NoorLotus"/>
      <w:b/>
      <w:bCs/>
      <w:kern w:val="2"/>
      <w:sz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1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="NoorLotus"/>
      <w:b/>
      <w:bCs/>
      <w:kern w:val="2"/>
      <w:sz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1F6"/>
    <w:pPr>
      <w:keepNext/>
      <w:keepLines/>
      <w:spacing w:before="160" w:after="80" w:line="278" w:lineRule="auto"/>
      <w:outlineLvl w:val="2"/>
    </w:pPr>
    <w:rPr>
      <w:rFonts w:eastAsiaTheme="majorEastAsia" w:cs="NoorLotus"/>
      <w:bCs/>
      <w:kern w:val="2"/>
      <w:sz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0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0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0C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0C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0C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0C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C6329"/>
    <w:pPr>
      <w:bidi w:val="0"/>
      <w:spacing w:after="0" w:line="240" w:lineRule="auto"/>
      <w:jc w:val="right"/>
    </w:pPr>
    <w:rPr>
      <w:rFonts w:ascii="Times New Roman" w:eastAsia="Times New Roman" w:hAnsi="Times New Roman" w:cs="Times New Roman"/>
      <w:kern w:val="2"/>
      <w:sz w:val="20"/>
      <w:szCs w:val="20"/>
      <w:lang w:bidi="ar-S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632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711F6"/>
    <w:rPr>
      <w:rFonts w:asciiTheme="majorHAnsi" w:eastAsiaTheme="majorEastAsia" w:hAnsiTheme="majorHAnsi" w:cs="NoorLotus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11F6"/>
    <w:rPr>
      <w:rFonts w:asciiTheme="majorHAnsi" w:eastAsiaTheme="majorEastAsia" w:hAnsiTheme="majorHAnsi" w:cs="NoorLotus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711F6"/>
    <w:rPr>
      <w:rFonts w:eastAsiaTheme="majorEastAsia" w:cs="NoorLotus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3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0C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3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0C7"/>
    <w:pPr>
      <w:spacing w:before="160" w:after="160" w:line="278" w:lineRule="auto"/>
      <w:jc w:val="center"/>
    </w:pPr>
    <w:rPr>
      <w:rFonts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3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0C7"/>
    <w:pPr>
      <w:spacing w:after="160" w:line="278" w:lineRule="auto"/>
      <w:ind w:left="720"/>
      <w:contextualSpacing/>
    </w:pPr>
    <w:rPr>
      <w:rFonts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3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0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ascii="NoorLotus" w:eastAsia="Calibri" w:hAnsi="NoorLotus" w:cs="NoorLotus"/>
      <w:b/>
      <w:bCs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ascii="NoorLotus" w:eastAsia="Calibri" w:hAnsi="NoorLotus" w:cs="NoorLotus"/>
      <w:b/>
      <w:bCs/>
      <w:kern w:val="0"/>
      <w:sz w:val="28"/>
      <w:szCs w:val="28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2930C7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2930C7"/>
    <w:pPr>
      <w:bidi w:val="0"/>
      <w:spacing w:before="480" w:after="0" w:line="276" w:lineRule="auto"/>
      <w:outlineLvl w:val="9"/>
    </w:pPr>
    <w:rPr>
      <w:kern w:val="0"/>
      <w:sz w:val="28"/>
      <w:lang w:eastAsia="ja-JP"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930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30C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30C7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4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1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16B"/>
    <w:rPr>
      <w:rFonts w:cs="B Badr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16B"/>
    <w:rPr>
      <w:rFonts w:cs="B Badr"/>
      <w:b/>
      <w:bCs/>
      <w:kern w:val="0"/>
      <w:sz w:val="20"/>
      <w:szCs w:val="2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5D5AE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A225E-D349-4886-87B4-09F29F88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</dc:creator>
  <cp:keywords/>
  <dc:description/>
  <cp:lastModifiedBy>سیّدمحسن حسینی رحمت آباد</cp:lastModifiedBy>
  <cp:revision>87</cp:revision>
  <cp:lastPrinted>2024-12-24T11:45:00Z</cp:lastPrinted>
  <dcterms:created xsi:type="dcterms:W3CDTF">2024-12-22T16:21:00Z</dcterms:created>
  <dcterms:modified xsi:type="dcterms:W3CDTF">2024-12-24T11:45:00Z</dcterms:modified>
</cp:coreProperties>
</file>