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NoorLotus" w:eastAsiaTheme="minorHAnsi" w:hAnsi="NoorLotus" w:cs="NoorLotus"/>
          <w:b w:val="0"/>
          <w:bCs w:val="0"/>
          <w:sz w:val="22"/>
          <w:rtl/>
          <w:lang w:eastAsia="en-US" w:bidi="fa-IR"/>
        </w:rPr>
        <w:id w:val="-547305381"/>
        <w:docPartObj>
          <w:docPartGallery w:val="Table of Contents"/>
          <w:docPartUnique/>
        </w:docPartObj>
      </w:sdtPr>
      <w:sdtEndPr>
        <w:rPr>
          <w:noProof/>
        </w:rPr>
      </w:sdtEndPr>
      <w:sdtContent>
        <w:p w14:paraId="1B941970" w14:textId="040FEEBA" w:rsidR="00B42957" w:rsidRPr="002D2F84" w:rsidRDefault="00B42957" w:rsidP="002655C5">
          <w:pPr>
            <w:pStyle w:val="TOCHeading"/>
            <w:bidi/>
            <w:jc w:val="both"/>
            <w:rPr>
              <w:rFonts w:ascii="NoorLotus" w:hAnsi="NoorLotus" w:cs="NoorLotus"/>
            </w:rPr>
          </w:pPr>
          <w:r w:rsidRPr="002D2F84">
            <w:rPr>
              <w:rFonts w:ascii="NoorLotus" w:hAnsi="NoorLotus" w:cs="NoorLotus"/>
            </w:rPr>
            <w:t>Contents</w:t>
          </w:r>
        </w:p>
        <w:p w14:paraId="7F957DA7" w14:textId="77777777" w:rsidR="002655C5" w:rsidRPr="002655C5" w:rsidRDefault="00B42957" w:rsidP="002655C5">
          <w:pPr>
            <w:pStyle w:val="TOC1"/>
            <w:tabs>
              <w:tab w:val="right" w:leader="dot" w:pos="9350"/>
            </w:tabs>
            <w:rPr>
              <w:rFonts w:ascii="NoorLotus" w:eastAsiaTheme="minorEastAsia" w:hAnsi="NoorLotus" w:cs="NoorLotus"/>
              <w:noProof/>
              <w:sz w:val="28"/>
            </w:rPr>
          </w:pPr>
          <w:r w:rsidRPr="002D2F84">
            <w:rPr>
              <w:rFonts w:ascii="NoorLotus" w:hAnsi="NoorLotus" w:cs="NoorLotus"/>
            </w:rPr>
            <w:fldChar w:fldCharType="begin"/>
          </w:r>
          <w:r w:rsidRPr="002D2F84">
            <w:rPr>
              <w:rFonts w:ascii="NoorLotus" w:hAnsi="NoorLotus" w:cs="NoorLotus"/>
            </w:rPr>
            <w:instrText xml:space="preserve"> TOC \o "1-3" \h \z \u </w:instrText>
          </w:r>
          <w:r w:rsidRPr="002D2F84">
            <w:rPr>
              <w:rFonts w:ascii="NoorLotus" w:hAnsi="NoorLotus" w:cs="NoorLotus"/>
            </w:rPr>
            <w:fldChar w:fldCharType="separate"/>
          </w:r>
          <w:hyperlink w:anchor="_Toc185400339" w:history="1">
            <w:r w:rsidR="002655C5" w:rsidRPr="002655C5">
              <w:rPr>
                <w:rStyle w:val="Hyperlink"/>
                <w:rFonts w:ascii="NoorLotus" w:hAnsi="NoorLotus" w:cs="NoorLotus"/>
                <w:noProof/>
                <w:sz w:val="28"/>
                <w:rtl/>
              </w:rPr>
              <w:t>ادامه بررسی ادله وجوب احتیاط در شبهات حکمیه تحریمه</w:t>
            </w:r>
            <w:r w:rsidR="002655C5" w:rsidRPr="002655C5">
              <w:rPr>
                <w:rFonts w:ascii="NoorLotus" w:hAnsi="NoorLotus" w:cs="NoorLotus"/>
                <w:noProof/>
                <w:webHidden/>
                <w:sz w:val="28"/>
              </w:rPr>
              <w:tab/>
            </w:r>
            <w:r w:rsidR="002655C5" w:rsidRPr="002655C5">
              <w:rPr>
                <w:rStyle w:val="Hyperlink"/>
                <w:rFonts w:ascii="NoorLotus" w:hAnsi="NoorLotus" w:cs="NoorLotus"/>
                <w:noProof/>
                <w:sz w:val="28"/>
                <w:rtl/>
              </w:rPr>
              <w:fldChar w:fldCharType="begin"/>
            </w:r>
            <w:r w:rsidR="002655C5" w:rsidRPr="002655C5">
              <w:rPr>
                <w:rFonts w:ascii="NoorLotus" w:hAnsi="NoorLotus" w:cs="NoorLotus"/>
                <w:noProof/>
                <w:webHidden/>
                <w:sz w:val="28"/>
              </w:rPr>
              <w:instrText xml:space="preserve"> PAGEREF _Toc185400339 \h </w:instrText>
            </w:r>
            <w:r w:rsidR="002655C5" w:rsidRPr="002655C5">
              <w:rPr>
                <w:rStyle w:val="Hyperlink"/>
                <w:rFonts w:ascii="NoorLotus" w:hAnsi="NoorLotus" w:cs="NoorLotus"/>
                <w:noProof/>
                <w:sz w:val="28"/>
                <w:rtl/>
              </w:rPr>
            </w:r>
            <w:r w:rsidR="002655C5" w:rsidRPr="002655C5">
              <w:rPr>
                <w:rStyle w:val="Hyperlink"/>
                <w:rFonts w:ascii="NoorLotus" w:hAnsi="NoorLotus" w:cs="NoorLotus"/>
                <w:noProof/>
                <w:sz w:val="28"/>
                <w:rtl/>
              </w:rPr>
              <w:fldChar w:fldCharType="separate"/>
            </w:r>
            <w:r w:rsidR="00EC7939">
              <w:rPr>
                <w:rFonts w:ascii="NoorLotus" w:hAnsi="NoorLotus" w:cs="NoorLotus"/>
                <w:noProof/>
                <w:webHidden/>
                <w:sz w:val="28"/>
                <w:rtl/>
              </w:rPr>
              <w:t>2</w:t>
            </w:r>
            <w:r w:rsidR="002655C5" w:rsidRPr="002655C5">
              <w:rPr>
                <w:rStyle w:val="Hyperlink"/>
                <w:rFonts w:ascii="NoorLotus" w:hAnsi="NoorLotus" w:cs="NoorLotus"/>
                <w:noProof/>
                <w:sz w:val="28"/>
                <w:rtl/>
              </w:rPr>
              <w:fldChar w:fldCharType="end"/>
            </w:r>
          </w:hyperlink>
        </w:p>
        <w:p w14:paraId="25027950" w14:textId="77777777" w:rsidR="002655C5" w:rsidRPr="002655C5" w:rsidRDefault="00040E57" w:rsidP="002655C5">
          <w:pPr>
            <w:pStyle w:val="TOC1"/>
            <w:tabs>
              <w:tab w:val="right" w:leader="dot" w:pos="9350"/>
            </w:tabs>
            <w:rPr>
              <w:rFonts w:ascii="NoorLotus" w:eastAsiaTheme="minorEastAsia" w:hAnsi="NoorLotus" w:cs="NoorLotus"/>
              <w:noProof/>
              <w:sz w:val="28"/>
            </w:rPr>
          </w:pPr>
          <w:hyperlink w:anchor="_Toc185400340" w:history="1">
            <w:r w:rsidR="002655C5" w:rsidRPr="002655C5">
              <w:rPr>
                <w:rStyle w:val="Hyperlink"/>
                <w:rFonts w:ascii="NoorLotus" w:hAnsi="NoorLotus" w:cs="NoorLotus"/>
                <w:noProof/>
                <w:sz w:val="28"/>
                <w:rtl/>
              </w:rPr>
              <w:t>ادامه بررسی طایفه دوم</w:t>
            </w:r>
            <w:r w:rsidR="002655C5" w:rsidRPr="002655C5">
              <w:rPr>
                <w:rFonts w:ascii="NoorLotus" w:hAnsi="NoorLotus" w:cs="NoorLotus"/>
                <w:noProof/>
                <w:webHidden/>
                <w:sz w:val="28"/>
              </w:rPr>
              <w:tab/>
            </w:r>
            <w:r w:rsidR="002655C5" w:rsidRPr="002655C5">
              <w:rPr>
                <w:rStyle w:val="Hyperlink"/>
                <w:rFonts w:ascii="NoorLotus" w:hAnsi="NoorLotus" w:cs="NoorLotus"/>
                <w:noProof/>
                <w:sz w:val="28"/>
                <w:rtl/>
              </w:rPr>
              <w:fldChar w:fldCharType="begin"/>
            </w:r>
            <w:r w:rsidR="002655C5" w:rsidRPr="002655C5">
              <w:rPr>
                <w:rFonts w:ascii="NoorLotus" w:hAnsi="NoorLotus" w:cs="NoorLotus"/>
                <w:noProof/>
                <w:webHidden/>
                <w:sz w:val="28"/>
              </w:rPr>
              <w:instrText xml:space="preserve"> PAGEREF _Toc185400340 \h </w:instrText>
            </w:r>
            <w:r w:rsidR="002655C5" w:rsidRPr="002655C5">
              <w:rPr>
                <w:rStyle w:val="Hyperlink"/>
                <w:rFonts w:ascii="NoorLotus" w:hAnsi="NoorLotus" w:cs="NoorLotus"/>
                <w:noProof/>
                <w:sz w:val="28"/>
                <w:rtl/>
              </w:rPr>
            </w:r>
            <w:r w:rsidR="002655C5" w:rsidRPr="002655C5">
              <w:rPr>
                <w:rStyle w:val="Hyperlink"/>
                <w:rFonts w:ascii="NoorLotus" w:hAnsi="NoorLotus" w:cs="NoorLotus"/>
                <w:noProof/>
                <w:sz w:val="28"/>
                <w:rtl/>
              </w:rPr>
              <w:fldChar w:fldCharType="separate"/>
            </w:r>
            <w:r w:rsidR="00EC7939">
              <w:rPr>
                <w:rFonts w:ascii="NoorLotus" w:hAnsi="NoorLotus" w:cs="NoorLotus"/>
                <w:noProof/>
                <w:webHidden/>
                <w:sz w:val="28"/>
                <w:rtl/>
              </w:rPr>
              <w:t>2</w:t>
            </w:r>
            <w:r w:rsidR="002655C5" w:rsidRPr="002655C5">
              <w:rPr>
                <w:rStyle w:val="Hyperlink"/>
                <w:rFonts w:ascii="NoorLotus" w:hAnsi="NoorLotus" w:cs="NoorLotus"/>
                <w:noProof/>
                <w:sz w:val="28"/>
                <w:rtl/>
              </w:rPr>
              <w:fldChar w:fldCharType="end"/>
            </w:r>
          </w:hyperlink>
        </w:p>
        <w:p w14:paraId="6AF4BF76" w14:textId="77777777" w:rsidR="002655C5" w:rsidRPr="002655C5" w:rsidRDefault="00040E57" w:rsidP="002655C5">
          <w:pPr>
            <w:pStyle w:val="TOC2"/>
            <w:tabs>
              <w:tab w:val="right" w:leader="dot" w:pos="9350"/>
            </w:tabs>
            <w:rPr>
              <w:rFonts w:ascii="NoorLotus" w:eastAsiaTheme="minorEastAsia" w:hAnsi="NoorLotus" w:cs="NoorLotus"/>
              <w:noProof/>
              <w:sz w:val="28"/>
            </w:rPr>
          </w:pPr>
          <w:hyperlink w:anchor="_Toc185400341" w:history="1">
            <w:r w:rsidR="002655C5" w:rsidRPr="002655C5">
              <w:rPr>
                <w:rStyle w:val="Hyperlink"/>
                <w:rFonts w:ascii="NoorLotus" w:hAnsi="NoorLotus" w:cs="NoorLotus"/>
                <w:noProof/>
                <w:sz w:val="28"/>
                <w:rtl/>
              </w:rPr>
              <w:t>روایت دوم: روایت جمیل بن صالح</w:t>
            </w:r>
            <w:r w:rsidR="002655C5" w:rsidRPr="002655C5">
              <w:rPr>
                <w:rFonts w:ascii="NoorLotus" w:hAnsi="NoorLotus" w:cs="NoorLotus"/>
                <w:noProof/>
                <w:webHidden/>
                <w:sz w:val="28"/>
              </w:rPr>
              <w:tab/>
            </w:r>
            <w:r w:rsidR="002655C5" w:rsidRPr="002655C5">
              <w:rPr>
                <w:rStyle w:val="Hyperlink"/>
                <w:rFonts w:ascii="NoorLotus" w:hAnsi="NoorLotus" w:cs="NoorLotus"/>
                <w:noProof/>
                <w:sz w:val="28"/>
                <w:rtl/>
              </w:rPr>
              <w:fldChar w:fldCharType="begin"/>
            </w:r>
            <w:r w:rsidR="002655C5" w:rsidRPr="002655C5">
              <w:rPr>
                <w:rFonts w:ascii="NoorLotus" w:hAnsi="NoorLotus" w:cs="NoorLotus"/>
                <w:noProof/>
                <w:webHidden/>
                <w:sz w:val="28"/>
              </w:rPr>
              <w:instrText xml:space="preserve"> PAGEREF _Toc185400341 \h </w:instrText>
            </w:r>
            <w:r w:rsidR="002655C5" w:rsidRPr="002655C5">
              <w:rPr>
                <w:rStyle w:val="Hyperlink"/>
                <w:rFonts w:ascii="NoorLotus" w:hAnsi="NoorLotus" w:cs="NoorLotus"/>
                <w:noProof/>
                <w:sz w:val="28"/>
                <w:rtl/>
              </w:rPr>
            </w:r>
            <w:r w:rsidR="002655C5" w:rsidRPr="002655C5">
              <w:rPr>
                <w:rStyle w:val="Hyperlink"/>
                <w:rFonts w:ascii="NoorLotus" w:hAnsi="NoorLotus" w:cs="NoorLotus"/>
                <w:noProof/>
                <w:sz w:val="28"/>
                <w:rtl/>
              </w:rPr>
              <w:fldChar w:fldCharType="separate"/>
            </w:r>
            <w:r w:rsidR="00EC7939">
              <w:rPr>
                <w:rFonts w:ascii="NoorLotus" w:hAnsi="NoorLotus" w:cs="NoorLotus"/>
                <w:noProof/>
                <w:webHidden/>
                <w:sz w:val="28"/>
                <w:rtl/>
              </w:rPr>
              <w:t>2</w:t>
            </w:r>
            <w:r w:rsidR="002655C5" w:rsidRPr="002655C5">
              <w:rPr>
                <w:rStyle w:val="Hyperlink"/>
                <w:rFonts w:ascii="NoorLotus" w:hAnsi="NoorLotus" w:cs="NoorLotus"/>
                <w:noProof/>
                <w:sz w:val="28"/>
                <w:rtl/>
              </w:rPr>
              <w:fldChar w:fldCharType="end"/>
            </w:r>
          </w:hyperlink>
        </w:p>
        <w:p w14:paraId="4A62040F" w14:textId="77777777" w:rsidR="002655C5" w:rsidRPr="002655C5" w:rsidRDefault="00040E57" w:rsidP="002655C5">
          <w:pPr>
            <w:pStyle w:val="TOC2"/>
            <w:tabs>
              <w:tab w:val="right" w:leader="dot" w:pos="9350"/>
            </w:tabs>
            <w:rPr>
              <w:rFonts w:ascii="NoorLotus" w:eastAsiaTheme="minorEastAsia" w:hAnsi="NoorLotus" w:cs="NoorLotus"/>
              <w:noProof/>
              <w:sz w:val="28"/>
            </w:rPr>
          </w:pPr>
          <w:hyperlink w:anchor="_Toc185400342" w:history="1">
            <w:r w:rsidR="002655C5" w:rsidRPr="002655C5">
              <w:rPr>
                <w:rStyle w:val="Hyperlink"/>
                <w:rFonts w:ascii="NoorLotus" w:hAnsi="NoorLotus" w:cs="NoorLotus"/>
                <w:noProof/>
                <w:sz w:val="28"/>
                <w:rtl/>
              </w:rPr>
              <w:t>بررسی روایت دوم</w:t>
            </w:r>
            <w:r w:rsidR="002655C5" w:rsidRPr="002655C5">
              <w:rPr>
                <w:rFonts w:ascii="NoorLotus" w:hAnsi="NoorLotus" w:cs="NoorLotus"/>
                <w:noProof/>
                <w:webHidden/>
                <w:sz w:val="28"/>
              </w:rPr>
              <w:tab/>
            </w:r>
            <w:r w:rsidR="002655C5" w:rsidRPr="002655C5">
              <w:rPr>
                <w:rStyle w:val="Hyperlink"/>
                <w:rFonts w:ascii="NoorLotus" w:hAnsi="NoorLotus" w:cs="NoorLotus"/>
                <w:noProof/>
                <w:sz w:val="28"/>
                <w:rtl/>
              </w:rPr>
              <w:fldChar w:fldCharType="begin"/>
            </w:r>
            <w:r w:rsidR="002655C5" w:rsidRPr="002655C5">
              <w:rPr>
                <w:rFonts w:ascii="NoorLotus" w:hAnsi="NoorLotus" w:cs="NoorLotus"/>
                <w:noProof/>
                <w:webHidden/>
                <w:sz w:val="28"/>
              </w:rPr>
              <w:instrText xml:space="preserve"> PAGEREF _Toc185400342 \h </w:instrText>
            </w:r>
            <w:r w:rsidR="002655C5" w:rsidRPr="002655C5">
              <w:rPr>
                <w:rStyle w:val="Hyperlink"/>
                <w:rFonts w:ascii="NoorLotus" w:hAnsi="NoorLotus" w:cs="NoorLotus"/>
                <w:noProof/>
                <w:sz w:val="28"/>
                <w:rtl/>
              </w:rPr>
            </w:r>
            <w:r w:rsidR="002655C5" w:rsidRPr="002655C5">
              <w:rPr>
                <w:rStyle w:val="Hyperlink"/>
                <w:rFonts w:ascii="NoorLotus" w:hAnsi="NoorLotus" w:cs="NoorLotus"/>
                <w:noProof/>
                <w:sz w:val="28"/>
                <w:rtl/>
              </w:rPr>
              <w:fldChar w:fldCharType="separate"/>
            </w:r>
            <w:r w:rsidR="00EC7939">
              <w:rPr>
                <w:rFonts w:ascii="NoorLotus" w:hAnsi="NoorLotus" w:cs="NoorLotus"/>
                <w:noProof/>
                <w:webHidden/>
                <w:sz w:val="28"/>
                <w:rtl/>
              </w:rPr>
              <w:t>3</w:t>
            </w:r>
            <w:r w:rsidR="002655C5" w:rsidRPr="002655C5">
              <w:rPr>
                <w:rStyle w:val="Hyperlink"/>
                <w:rFonts w:ascii="NoorLotus" w:hAnsi="NoorLotus" w:cs="NoorLotus"/>
                <w:noProof/>
                <w:sz w:val="28"/>
                <w:rtl/>
              </w:rPr>
              <w:fldChar w:fldCharType="end"/>
            </w:r>
          </w:hyperlink>
        </w:p>
        <w:p w14:paraId="2D428665" w14:textId="77777777" w:rsidR="002655C5" w:rsidRPr="002655C5" w:rsidRDefault="00040E57" w:rsidP="002655C5">
          <w:pPr>
            <w:pStyle w:val="TOC3"/>
            <w:tabs>
              <w:tab w:val="right" w:leader="dot" w:pos="9350"/>
            </w:tabs>
            <w:rPr>
              <w:rFonts w:ascii="NoorLotus" w:eastAsiaTheme="minorEastAsia" w:hAnsi="NoorLotus" w:cs="NoorLotus"/>
              <w:noProof/>
              <w:sz w:val="28"/>
            </w:rPr>
          </w:pPr>
          <w:hyperlink w:anchor="_Toc185400343" w:history="1">
            <w:r w:rsidR="002655C5" w:rsidRPr="002655C5">
              <w:rPr>
                <w:rStyle w:val="Hyperlink"/>
                <w:rFonts w:ascii="NoorLotus" w:hAnsi="NoorLotus" w:cs="NoorLotus"/>
                <w:noProof/>
                <w:sz w:val="28"/>
                <w:rtl/>
              </w:rPr>
              <w:t>جواب اول: بیان شهید صدر رحمه الله</w:t>
            </w:r>
            <w:r w:rsidR="002655C5" w:rsidRPr="002655C5">
              <w:rPr>
                <w:rFonts w:ascii="NoorLotus" w:hAnsi="NoorLotus" w:cs="NoorLotus"/>
                <w:noProof/>
                <w:webHidden/>
                <w:sz w:val="28"/>
              </w:rPr>
              <w:tab/>
            </w:r>
            <w:r w:rsidR="002655C5" w:rsidRPr="002655C5">
              <w:rPr>
                <w:rStyle w:val="Hyperlink"/>
                <w:rFonts w:ascii="NoorLotus" w:hAnsi="NoorLotus" w:cs="NoorLotus"/>
                <w:noProof/>
                <w:sz w:val="28"/>
                <w:rtl/>
              </w:rPr>
              <w:fldChar w:fldCharType="begin"/>
            </w:r>
            <w:r w:rsidR="002655C5" w:rsidRPr="002655C5">
              <w:rPr>
                <w:rFonts w:ascii="NoorLotus" w:hAnsi="NoorLotus" w:cs="NoorLotus"/>
                <w:noProof/>
                <w:webHidden/>
                <w:sz w:val="28"/>
              </w:rPr>
              <w:instrText xml:space="preserve"> PAGEREF _Toc185400343 \h </w:instrText>
            </w:r>
            <w:r w:rsidR="002655C5" w:rsidRPr="002655C5">
              <w:rPr>
                <w:rStyle w:val="Hyperlink"/>
                <w:rFonts w:ascii="NoorLotus" w:hAnsi="NoorLotus" w:cs="NoorLotus"/>
                <w:noProof/>
                <w:sz w:val="28"/>
                <w:rtl/>
              </w:rPr>
            </w:r>
            <w:r w:rsidR="002655C5" w:rsidRPr="002655C5">
              <w:rPr>
                <w:rStyle w:val="Hyperlink"/>
                <w:rFonts w:ascii="NoorLotus" w:hAnsi="NoorLotus" w:cs="NoorLotus"/>
                <w:noProof/>
                <w:sz w:val="28"/>
                <w:rtl/>
              </w:rPr>
              <w:fldChar w:fldCharType="separate"/>
            </w:r>
            <w:r w:rsidR="00EC7939">
              <w:rPr>
                <w:rFonts w:ascii="NoorLotus" w:hAnsi="NoorLotus" w:cs="NoorLotus"/>
                <w:noProof/>
                <w:webHidden/>
                <w:sz w:val="28"/>
                <w:rtl/>
              </w:rPr>
              <w:t>3</w:t>
            </w:r>
            <w:r w:rsidR="002655C5" w:rsidRPr="002655C5">
              <w:rPr>
                <w:rStyle w:val="Hyperlink"/>
                <w:rFonts w:ascii="NoorLotus" w:hAnsi="NoorLotus" w:cs="NoorLotus"/>
                <w:noProof/>
                <w:sz w:val="28"/>
                <w:rtl/>
              </w:rPr>
              <w:fldChar w:fldCharType="end"/>
            </w:r>
          </w:hyperlink>
        </w:p>
        <w:p w14:paraId="6C2AAD73" w14:textId="77777777" w:rsidR="002655C5" w:rsidRPr="002655C5" w:rsidRDefault="00040E57" w:rsidP="002655C5">
          <w:pPr>
            <w:pStyle w:val="TOC3"/>
            <w:tabs>
              <w:tab w:val="right" w:leader="dot" w:pos="9350"/>
            </w:tabs>
            <w:rPr>
              <w:rFonts w:ascii="NoorLotus" w:eastAsiaTheme="minorEastAsia" w:hAnsi="NoorLotus" w:cs="NoorLotus"/>
              <w:noProof/>
              <w:sz w:val="28"/>
            </w:rPr>
          </w:pPr>
          <w:hyperlink w:anchor="_Toc185400344" w:history="1">
            <w:r w:rsidR="002655C5" w:rsidRPr="002655C5">
              <w:rPr>
                <w:rStyle w:val="Hyperlink"/>
                <w:rFonts w:ascii="NoorLotus" w:hAnsi="NoorLotus" w:cs="NoorLotus"/>
                <w:noProof/>
                <w:sz w:val="28"/>
                <w:rtl/>
              </w:rPr>
              <w:t>رد جواب اول</w:t>
            </w:r>
            <w:r w:rsidR="002655C5" w:rsidRPr="002655C5">
              <w:rPr>
                <w:rFonts w:ascii="NoorLotus" w:hAnsi="NoorLotus" w:cs="NoorLotus"/>
                <w:noProof/>
                <w:webHidden/>
                <w:sz w:val="28"/>
              </w:rPr>
              <w:tab/>
            </w:r>
            <w:r w:rsidR="002655C5" w:rsidRPr="002655C5">
              <w:rPr>
                <w:rStyle w:val="Hyperlink"/>
                <w:rFonts w:ascii="NoorLotus" w:hAnsi="NoorLotus" w:cs="NoorLotus"/>
                <w:noProof/>
                <w:sz w:val="28"/>
                <w:rtl/>
              </w:rPr>
              <w:fldChar w:fldCharType="begin"/>
            </w:r>
            <w:r w:rsidR="002655C5" w:rsidRPr="002655C5">
              <w:rPr>
                <w:rFonts w:ascii="NoorLotus" w:hAnsi="NoorLotus" w:cs="NoorLotus"/>
                <w:noProof/>
                <w:webHidden/>
                <w:sz w:val="28"/>
              </w:rPr>
              <w:instrText xml:space="preserve"> PAGEREF _Toc185400344 \h </w:instrText>
            </w:r>
            <w:r w:rsidR="002655C5" w:rsidRPr="002655C5">
              <w:rPr>
                <w:rStyle w:val="Hyperlink"/>
                <w:rFonts w:ascii="NoorLotus" w:hAnsi="NoorLotus" w:cs="NoorLotus"/>
                <w:noProof/>
                <w:sz w:val="28"/>
                <w:rtl/>
              </w:rPr>
            </w:r>
            <w:r w:rsidR="002655C5" w:rsidRPr="002655C5">
              <w:rPr>
                <w:rStyle w:val="Hyperlink"/>
                <w:rFonts w:ascii="NoorLotus" w:hAnsi="NoorLotus" w:cs="NoorLotus"/>
                <w:noProof/>
                <w:sz w:val="28"/>
                <w:rtl/>
              </w:rPr>
              <w:fldChar w:fldCharType="separate"/>
            </w:r>
            <w:r w:rsidR="00EC7939">
              <w:rPr>
                <w:rFonts w:ascii="NoorLotus" w:hAnsi="NoorLotus" w:cs="NoorLotus"/>
                <w:noProof/>
                <w:webHidden/>
                <w:sz w:val="28"/>
                <w:rtl/>
              </w:rPr>
              <w:t>3</w:t>
            </w:r>
            <w:r w:rsidR="002655C5" w:rsidRPr="002655C5">
              <w:rPr>
                <w:rStyle w:val="Hyperlink"/>
                <w:rFonts w:ascii="NoorLotus" w:hAnsi="NoorLotus" w:cs="NoorLotus"/>
                <w:noProof/>
                <w:sz w:val="28"/>
                <w:rtl/>
              </w:rPr>
              <w:fldChar w:fldCharType="end"/>
            </w:r>
          </w:hyperlink>
        </w:p>
        <w:p w14:paraId="3C4D1009" w14:textId="77777777" w:rsidR="002655C5" w:rsidRPr="002655C5" w:rsidRDefault="00040E57" w:rsidP="002655C5">
          <w:pPr>
            <w:pStyle w:val="TOC3"/>
            <w:tabs>
              <w:tab w:val="right" w:leader="dot" w:pos="9350"/>
            </w:tabs>
            <w:rPr>
              <w:rFonts w:ascii="NoorLotus" w:eastAsiaTheme="minorEastAsia" w:hAnsi="NoorLotus" w:cs="NoorLotus"/>
              <w:noProof/>
              <w:sz w:val="28"/>
            </w:rPr>
          </w:pPr>
          <w:hyperlink w:anchor="_Toc185400345" w:history="1">
            <w:r w:rsidR="002655C5" w:rsidRPr="002655C5">
              <w:rPr>
                <w:rStyle w:val="Hyperlink"/>
                <w:rFonts w:ascii="NoorLotus" w:hAnsi="NoorLotus" w:cs="NoorLotus"/>
                <w:noProof/>
                <w:sz w:val="28"/>
                <w:rtl/>
              </w:rPr>
              <w:t>جواب دوم</w:t>
            </w:r>
            <w:r w:rsidR="002655C5" w:rsidRPr="002655C5">
              <w:rPr>
                <w:rFonts w:ascii="NoorLotus" w:hAnsi="NoorLotus" w:cs="NoorLotus"/>
                <w:noProof/>
                <w:webHidden/>
                <w:sz w:val="28"/>
              </w:rPr>
              <w:tab/>
            </w:r>
            <w:r w:rsidR="002655C5" w:rsidRPr="002655C5">
              <w:rPr>
                <w:rStyle w:val="Hyperlink"/>
                <w:rFonts w:ascii="NoorLotus" w:hAnsi="NoorLotus" w:cs="NoorLotus"/>
                <w:noProof/>
                <w:sz w:val="28"/>
                <w:rtl/>
              </w:rPr>
              <w:fldChar w:fldCharType="begin"/>
            </w:r>
            <w:r w:rsidR="002655C5" w:rsidRPr="002655C5">
              <w:rPr>
                <w:rFonts w:ascii="NoorLotus" w:hAnsi="NoorLotus" w:cs="NoorLotus"/>
                <w:noProof/>
                <w:webHidden/>
                <w:sz w:val="28"/>
              </w:rPr>
              <w:instrText xml:space="preserve"> PAGEREF _Toc185400345 \h </w:instrText>
            </w:r>
            <w:r w:rsidR="002655C5" w:rsidRPr="002655C5">
              <w:rPr>
                <w:rStyle w:val="Hyperlink"/>
                <w:rFonts w:ascii="NoorLotus" w:hAnsi="NoorLotus" w:cs="NoorLotus"/>
                <w:noProof/>
                <w:sz w:val="28"/>
                <w:rtl/>
              </w:rPr>
            </w:r>
            <w:r w:rsidR="002655C5" w:rsidRPr="002655C5">
              <w:rPr>
                <w:rStyle w:val="Hyperlink"/>
                <w:rFonts w:ascii="NoorLotus" w:hAnsi="NoorLotus" w:cs="NoorLotus"/>
                <w:noProof/>
                <w:sz w:val="28"/>
                <w:rtl/>
              </w:rPr>
              <w:fldChar w:fldCharType="separate"/>
            </w:r>
            <w:r w:rsidR="00EC7939">
              <w:rPr>
                <w:rFonts w:ascii="NoorLotus" w:hAnsi="NoorLotus" w:cs="NoorLotus"/>
                <w:noProof/>
                <w:webHidden/>
                <w:sz w:val="28"/>
                <w:rtl/>
              </w:rPr>
              <w:t>4</w:t>
            </w:r>
            <w:r w:rsidR="002655C5" w:rsidRPr="002655C5">
              <w:rPr>
                <w:rStyle w:val="Hyperlink"/>
                <w:rFonts w:ascii="NoorLotus" w:hAnsi="NoorLotus" w:cs="NoorLotus"/>
                <w:noProof/>
                <w:sz w:val="28"/>
                <w:rtl/>
              </w:rPr>
              <w:fldChar w:fldCharType="end"/>
            </w:r>
          </w:hyperlink>
        </w:p>
        <w:p w14:paraId="736CFB77" w14:textId="77777777" w:rsidR="002655C5" w:rsidRPr="002655C5" w:rsidRDefault="00040E57" w:rsidP="002655C5">
          <w:pPr>
            <w:pStyle w:val="TOC2"/>
            <w:tabs>
              <w:tab w:val="right" w:leader="dot" w:pos="9350"/>
            </w:tabs>
            <w:rPr>
              <w:rFonts w:ascii="NoorLotus" w:eastAsiaTheme="minorEastAsia" w:hAnsi="NoorLotus" w:cs="NoorLotus"/>
              <w:noProof/>
              <w:sz w:val="28"/>
            </w:rPr>
          </w:pPr>
          <w:hyperlink w:anchor="_Toc185400346" w:history="1">
            <w:r w:rsidR="002655C5" w:rsidRPr="002655C5">
              <w:rPr>
                <w:rStyle w:val="Hyperlink"/>
                <w:rFonts w:ascii="NoorLotus" w:hAnsi="NoorLotus" w:cs="NoorLotus"/>
                <w:noProof/>
                <w:sz w:val="28"/>
                <w:rtl/>
              </w:rPr>
              <w:t>روایت سوم: روایت نعمان بن بشیر</w:t>
            </w:r>
            <w:r w:rsidR="002655C5" w:rsidRPr="002655C5">
              <w:rPr>
                <w:rFonts w:ascii="NoorLotus" w:hAnsi="NoorLotus" w:cs="NoorLotus"/>
                <w:noProof/>
                <w:webHidden/>
                <w:sz w:val="28"/>
              </w:rPr>
              <w:tab/>
            </w:r>
            <w:r w:rsidR="002655C5" w:rsidRPr="002655C5">
              <w:rPr>
                <w:rStyle w:val="Hyperlink"/>
                <w:rFonts w:ascii="NoorLotus" w:hAnsi="NoorLotus" w:cs="NoorLotus"/>
                <w:noProof/>
                <w:sz w:val="28"/>
                <w:rtl/>
              </w:rPr>
              <w:fldChar w:fldCharType="begin"/>
            </w:r>
            <w:r w:rsidR="002655C5" w:rsidRPr="002655C5">
              <w:rPr>
                <w:rFonts w:ascii="NoorLotus" w:hAnsi="NoorLotus" w:cs="NoorLotus"/>
                <w:noProof/>
                <w:webHidden/>
                <w:sz w:val="28"/>
              </w:rPr>
              <w:instrText xml:space="preserve"> PAGEREF _Toc185400346 \h </w:instrText>
            </w:r>
            <w:r w:rsidR="002655C5" w:rsidRPr="002655C5">
              <w:rPr>
                <w:rStyle w:val="Hyperlink"/>
                <w:rFonts w:ascii="NoorLotus" w:hAnsi="NoorLotus" w:cs="NoorLotus"/>
                <w:noProof/>
                <w:sz w:val="28"/>
                <w:rtl/>
              </w:rPr>
            </w:r>
            <w:r w:rsidR="002655C5" w:rsidRPr="002655C5">
              <w:rPr>
                <w:rStyle w:val="Hyperlink"/>
                <w:rFonts w:ascii="NoorLotus" w:hAnsi="NoorLotus" w:cs="NoorLotus"/>
                <w:noProof/>
                <w:sz w:val="28"/>
                <w:rtl/>
              </w:rPr>
              <w:fldChar w:fldCharType="separate"/>
            </w:r>
            <w:r w:rsidR="00EC7939">
              <w:rPr>
                <w:rFonts w:ascii="NoorLotus" w:hAnsi="NoorLotus" w:cs="NoorLotus"/>
                <w:noProof/>
                <w:webHidden/>
                <w:sz w:val="28"/>
                <w:rtl/>
              </w:rPr>
              <w:t>5</w:t>
            </w:r>
            <w:r w:rsidR="002655C5" w:rsidRPr="002655C5">
              <w:rPr>
                <w:rStyle w:val="Hyperlink"/>
                <w:rFonts w:ascii="NoorLotus" w:hAnsi="NoorLotus" w:cs="NoorLotus"/>
                <w:noProof/>
                <w:sz w:val="28"/>
                <w:rtl/>
              </w:rPr>
              <w:fldChar w:fldCharType="end"/>
            </w:r>
          </w:hyperlink>
        </w:p>
        <w:p w14:paraId="36F7E809" w14:textId="77777777" w:rsidR="002655C5" w:rsidRPr="002655C5" w:rsidRDefault="00040E57" w:rsidP="002655C5">
          <w:pPr>
            <w:pStyle w:val="TOC3"/>
            <w:tabs>
              <w:tab w:val="right" w:leader="dot" w:pos="9350"/>
            </w:tabs>
            <w:rPr>
              <w:rFonts w:ascii="NoorLotus" w:eastAsiaTheme="minorEastAsia" w:hAnsi="NoorLotus" w:cs="NoorLotus"/>
              <w:noProof/>
              <w:sz w:val="28"/>
            </w:rPr>
          </w:pPr>
          <w:hyperlink w:anchor="_Toc185400347" w:history="1">
            <w:r w:rsidR="002655C5" w:rsidRPr="002655C5">
              <w:rPr>
                <w:rStyle w:val="Hyperlink"/>
                <w:rFonts w:ascii="NoorLotus" w:hAnsi="NoorLotus" w:cs="NoorLotus"/>
                <w:noProof/>
                <w:sz w:val="28"/>
                <w:rtl/>
              </w:rPr>
              <w:t>بررسی روایت سوم</w:t>
            </w:r>
            <w:r w:rsidR="002655C5" w:rsidRPr="002655C5">
              <w:rPr>
                <w:rFonts w:ascii="NoorLotus" w:hAnsi="NoorLotus" w:cs="NoorLotus"/>
                <w:noProof/>
                <w:webHidden/>
                <w:sz w:val="28"/>
              </w:rPr>
              <w:tab/>
            </w:r>
            <w:r w:rsidR="002655C5" w:rsidRPr="002655C5">
              <w:rPr>
                <w:rStyle w:val="Hyperlink"/>
                <w:rFonts w:ascii="NoorLotus" w:hAnsi="NoorLotus" w:cs="NoorLotus"/>
                <w:noProof/>
                <w:sz w:val="28"/>
                <w:rtl/>
              </w:rPr>
              <w:fldChar w:fldCharType="begin"/>
            </w:r>
            <w:r w:rsidR="002655C5" w:rsidRPr="002655C5">
              <w:rPr>
                <w:rFonts w:ascii="NoorLotus" w:hAnsi="NoorLotus" w:cs="NoorLotus"/>
                <w:noProof/>
                <w:webHidden/>
                <w:sz w:val="28"/>
              </w:rPr>
              <w:instrText xml:space="preserve"> PAGEREF _Toc185400347 \h </w:instrText>
            </w:r>
            <w:r w:rsidR="002655C5" w:rsidRPr="002655C5">
              <w:rPr>
                <w:rStyle w:val="Hyperlink"/>
                <w:rFonts w:ascii="NoorLotus" w:hAnsi="NoorLotus" w:cs="NoorLotus"/>
                <w:noProof/>
                <w:sz w:val="28"/>
                <w:rtl/>
              </w:rPr>
            </w:r>
            <w:r w:rsidR="002655C5" w:rsidRPr="002655C5">
              <w:rPr>
                <w:rStyle w:val="Hyperlink"/>
                <w:rFonts w:ascii="NoorLotus" w:hAnsi="NoorLotus" w:cs="NoorLotus"/>
                <w:noProof/>
                <w:sz w:val="28"/>
                <w:rtl/>
              </w:rPr>
              <w:fldChar w:fldCharType="separate"/>
            </w:r>
            <w:r w:rsidR="00EC7939">
              <w:rPr>
                <w:rFonts w:ascii="NoorLotus" w:hAnsi="NoorLotus" w:cs="NoorLotus"/>
                <w:noProof/>
                <w:webHidden/>
                <w:sz w:val="28"/>
                <w:rtl/>
              </w:rPr>
              <w:t>5</w:t>
            </w:r>
            <w:r w:rsidR="002655C5" w:rsidRPr="002655C5">
              <w:rPr>
                <w:rStyle w:val="Hyperlink"/>
                <w:rFonts w:ascii="NoorLotus" w:hAnsi="NoorLotus" w:cs="NoorLotus"/>
                <w:noProof/>
                <w:sz w:val="28"/>
                <w:rtl/>
              </w:rPr>
              <w:fldChar w:fldCharType="end"/>
            </w:r>
          </w:hyperlink>
        </w:p>
        <w:p w14:paraId="5F8D7902" w14:textId="77777777" w:rsidR="002655C5" w:rsidRPr="002655C5" w:rsidRDefault="00040E57" w:rsidP="002655C5">
          <w:pPr>
            <w:pStyle w:val="TOC2"/>
            <w:tabs>
              <w:tab w:val="right" w:leader="dot" w:pos="9350"/>
            </w:tabs>
            <w:rPr>
              <w:rFonts w:ascii="NoorLotus" w:eastAsiaTheme="minorEastAsia" w:hAnsi="NoorLotus" w:cs="NoorLotus"/>
              <w:noProof/>
              <w:sz w:val="28"/>
            </w:rPr>
          </w:pPr>
          <w:hyperlink w:anchor="_Toc185400348" w:history="1">
            <w:r w:rsidR="002655C5" w:rsidRPr="002655C5">
              <w:rPr>
                <w:rStyle w:val="Hyperlink"/>
                <w:rFonts w:ascii="NoorLotus" w:hAnsi="NoorLotus" w:cs="NoorLotus"/>
                <w:noProof/>
                <w:sz w:val="28"/>
                <w:rtl/>
              </w:rPr>
              <w:t>طایفه‌ی سوم: روایات متفرقه</w:t>
            </w:r>
            <w:r w:rsidR="002655C5" w:rsidRPr="002655C5">
              <w:rPr>
                <w:rFonts w:ascii="NoorLotus" w:hAnsi="NoorLotus" w:cs="NoorLotus"/>
                <w:noProof/>
                <w:webHidden/>
                <w:sz w:val="28"/>
              </w:rPr>
              <w:tab/>
            </w:r>
            <w:r w:rsidR="002655C5" w:rsidRPr="002655C5">
              <w:rPr>
                <w:rStyle w:val="Hyperlink"/>
                <w:rFonts w:ascii="NoorLotus" w:hAnsi="NoorLotus" w:cs="NoorLotus"/>
                <w:noProof/>
                <w:sz w:val="28"/>
                <w:rtl/>
              </w:rPr>
              <w:fldChar w:fldCharType="begin"/>
            </w:r>
            <w:r w:rsidR="002655C5" w:rsidRPr="002655C5">
              <w:rPr>
                <w:rFonts w:ascii="NoorLotus" w:hAnsi="NoorLotus" w:cs="NoorLotus"/>
                <w:noProof/>
                <w:webHidden/>
                <w:sz w:val="28"/>
              </w:rPr>
              <w:instrText xml:space="preserve"> PAGEREF _Toc185400348 \h </w:instrText>
            </w:r>
            <w:r w:rsidR="002655C5" w:rsidRPr="002655C5">
              <w:rPr>
                <w:rStyle w:val="Hyperlink"/>
                <w:rFonts w:ascii="NoorLotus" w:hAnsi="NoorLotus" w:cs="NoorLotus"/>
                <w:noProof/>
                <w:sz w:val="28"/>
                <w:rtl/>
              </w:rPr>
            </w:r>
            <w:r w:rsidR="002655C5" w:rsidRPr="002655C5">
              <w:rPr>
                <w:rStyle w:val="Hyperlink"/>
                <w:rFonts w:ascii="NoorLotus" w:hAnsi="NoorLotus" w:cs="NoorLotus"/>
                <w:noProof/>
                <w:sz w:val="28"/>
                <w:rtl/>
              </w:rPr>
              <w:fldChar w:fldCharType="separate"/>
            </w:r>
            <w:r w:rsidR="00EC7939">
              <w:rPr>
                <w:rFonts w:ascii="NoorLotus" w:hAnsi="NoorLotus" w:cs="NoorLotus"/>
                <w:noProof/>
                <w:webHidden/>
                <w:sz w:val="28"/>
                <w:rtl/>
              </w:rPr>
              <w:t>6</w:t>
            </w:r>
            <w:r w:rsidR="002655C5" w:rsidRPr="002655C5">
              <w:rPr>
                <w:rStyle w:val="Hyperlink"/>
                <w:rFonts w:ascii="NoorLotus" w:hAnsi="NoorLotus" w:cs="NoorLotus"/>
                <w:noProof/>
                <w:sz w:val="28"/>
                <w:rtl/>
              </w:rPr>
              <w:fldChar w:fldCharType="end"/>
            </w:r>
          </w:hyperlink>
        </w:p>
        <w:p w14:paraId="51683677" w14:textId="77777777" w:rsidR="002655C5" w:rsidRPr="002655C5" w:rsidRDefault="00040E57" w:rsidP="002655C5">
          <w:pPr>
            <w:pStyle w:val="TOC2"/>
            <w:tabs>
              <w:tab w:val="right" w:leader="dot" w:pos="9350"/>
            </w:tabs>
            <w:rPr>
              <w:rFonts w:ascii="NoorLotus" w:eastAsiaTheme="minorEastAsia" w:hAnsi="NoorLotus" w:cs="NoorLotus"/>
              <w:noProof/>
              <w:sz w:val="28"/>
            </w:rPr>
          </w:pPr>
          <w:hyperlink w:anchor="_Toc185400349" w:history="1">
            <w:r w:rsidR="002655C5" w:rsidRPr="002655C5">
              <w:rPr>
                <w:rStyle w:val="Hyperlink"/>
                <w:rFonts w:ascii="NoorLotus" w:hAnsi="NoorLotus" w:cs="NoorLotus"/>
                <w:noProof/>
                <w:sz w:val="28"/>
                <w:rtl/>
              </w:rPr>
              <w:t>روایت اول: روایت سلیمان بن داود منقری</w:t>
            </w:r>
            <w:r w:rsidR="002655C5" w:rsidRPr="002655C5">
              <w:rPr>
                <w:rFonts w:ascii="NoorLotus" w:hAnsi="NoorLotus" w:cs="NoorLotus"/>
                <w:noProof/>
                <w:webHidden/>
                <w:sz w:val="28"/>
              </w:rPr>
              <w:tab/>
            </w:r>
            <w:r w:rsidR="002655C5" w:rsidRPr="002655C5">
              <w:rPr>
                <w:rStyle w:val="Hyperlink"/>
                <w:rFonts w:ascii="NoorLotus" w:hAnsi="NoorLotus" w:cs="NoorLotus"/>
                <w:noProof/>
                <w:sz w:val="28"/>
                <w:rtl/>
              </w:rPr>
              <w:fldChar w:fldCharType="begin"/>
            </w:r>
            <w:r w:rsidR="002655C5" w:rsidRPr="002655C5">
              <w:rPr>
                <w:rFonts w:ascii="NoorLotus" w:hAnsi="NoorLotus" w:cs="NoorLotus"/>
                <w:noProof/>
                <w:webHidden/>
                <w:sz w:val="28"/>
              </w:rPr>
              <w:instrText xml:space="preserve"> PAGEREF _Toc185400349 \h </w:instrText>
            </w:r>
            <w:r w:rsidR="002655C5" w:rsidRPr="002655C5">
              <w:rPr>
                <w:rStyle w:val="Hyperlink"/>
                <w:rFonts w:ascii="NoorLotus" w:hAnsi="NoorLotus" w:cs="NoorLotus"/>
                <w:noProof/>
                <w:sz w:val="28"/>
                <w:rtl/>
              </w:rPr>
            </w:r>
            <w:r w:rsidR="002655C5" w:rsidRPr="002655C5">
              <w:rPr>
                <w:rStyle w:val="Hyperlink"/>
                <w:rFonts w:ascii="NoorLotus" w:hAnsi="NoorLotus" w:cs="NoorLotus"/>
                <w:noProof/>
                <w:sz w:val="28"/>
                <w:rtl/>
              </w:rPr>
              <w:fldChar w:fldCharType="separate"/>
            </w:r>
            <w:r w:rsidR="00EC7939">
              <w:rPr>
                <w:rFonts w:ascii="NoorLotus" w:hAnsi="NoorLotus" w:cs="NoorLotus"/>
                <w:noProof/>
                <w:webHidden/>
                <w:sz w:val="28"/>
                <w:rtl/>
              </w:rPr>
              <w:t>6</w:t>
            </w:r>
            <w:r w:rsidR="002655C5" w:rsidRPr="002655C5">
              <w:rPr>
                <w:rStyle w:val="Hyperlink"/>
                <w:rFonts w:ascii="NoorLotus" w:hAnsi="NoorLotus" w:cs="NoorLotus"/>
                <w:noProof/>
                <w:sz w:val="28"/>
                <w:rtl/>
              </w:rPr>
              <w:fldChar w:fldCharType="end"/>
            </w:r>
          </w:hyperlink>
        </w:p>
        <w:p w14:paraId="25FE4CEC" w14:textId="77777777" w:rsidR="002655C5" w:rsidRPr="002655C5" w:rsidRDefault="00040E57" w:rsidP="002655C5">
          <w:pPr>
            <w:pStyle w:val="TOC3"/>
            <w:tabs>
              <w:tab w:val="right" w:leader="dot" w:pos="9350"/>
            </w:tabs>
            <w:rPr>
              <w:rFonts w:ascii="NoorLotus" w:eastAsiaTheme="minorEastAsia" w:hAnsi="NoorLotus" w:cs="NoorLotus"/>
              <w:noProof/>
              <w:sz w:val="28"/>
            </w:rPr>
          </w:pPr>
          <w:hyperlink w:anchor="_Toc185400350" w:history="1">
            <w:r w:rsidR="002655C5" w:rsidRPr="002655C5">
              <w:rPr>
                <w:rStyle w:val="Hyperlink"/>
                <w:rFonts w:ascii="NoorLotus" w:hAnsi="NoorLotus" w:cs="NoorLotus"/>
                <w:noProof/>
                <w:sz w:val="28"/>
                <w:rtl/>
              </w:rPr>
              <w:t>بررسی اعتبار نقل‌های علامه از ابن غضائری</w:t>
            </w:r>
            <w:r w:rsidR="002655C5" w:rsidRPr="002655C5">
              <w:rPr>
                <w:rFonts w:ascii="NoorLotus" w:hAnsi="NoorLotus" w:cs="NoorLotus"/>
                <w:noProof/>
                <w:webHidden/>
                <w:sz w:val="28"/>
              </w:rPr>
              <w:tab/>
            </w:r>
            <w:r w:rsidR="002655C5" w:rsidRPr="002655C5">
              <w:rPr>
                <w:rStyle w:val="Hyperlink"/>
                <w:rFonts w:ascii="NoorLotus" w:hAnsi="NoorLotus" w:cs="NoorLotus"/>
                <w:noProof/>
                <w:sz w:val="28"/>
                <w:rtl/>
              </w:rPr>
              <w:fldChar w:fldCharType="begin"/>
            </w:r>
            <w:r w:rsidR="002655C5" w:rsidRPr="002655C5">
              <w:rPr>
                <w:rFonts w:ascii="NoorLotus" w:hAnsi="NoorLotus" w:cs="NoorLotus"/>
                <w:noProof/>
                <w:webHidden/>
                <w:sz w:val="28"/>
              </w:rPr>
              <w:instrText xml:space="preserve"> PAGEREF _Toc185400350 \h </w:instrText>
            </w:r>
            <w:r w:rsidR="002655C5" w:rsidRPr="002655C5">
              <w:rPr>
                <w:rStyle w:val="Hyperlink"/>
                <w:rFonts w:ascii="NoorLotus" w:hAnsi="NoorLotus" w:cs="NoorLotus"/>
                <w:noProof/>
                <w:sz w:val="28"/>
                <w:rtl/>
              </w:rPr>
            </w:r>
            <w:r w:rsidR="002655C5" w:rsidRPr="002655C5">
              <w:rPr>
                <w:rStyle w:val="Hyperlink"/>
                <w:rFonts w:ascii="NoorLotus" w:hAnsi="NoorLotus" w:cs="NoorLotus"/>
                <w:noProof/>
                <w:sz w:val="28"/>
                <w:rtl/>
              </w:rPr>
              <w:fldChar w:fldCharType="separate"/>
            </w:r>
            <w:r w:rsidR="00EC7939">
              <w:rPr>
                <w:rFonts w:ascii="NoorLotus" w:hAnsi="NoorLotus" w:cs="NoorLotus"/>
                <w:noProof/>
                <w:webHidden/>
                <w:sz w:val="28"/>
                <w:rtl/>
              </w:rPr>
              <w:t>7</w:t>
            </w:r>
            <w:r w:rsidR="002655C5" w:rsidRPr="002655C5">
              <w:rPr>
                <w:rStyle w:val="Hyperlink"/>
                <w:rFonts w:ascii="NoorLotus" w:hAnsi="NoorLotus" w:cs="NoorLotus"/>
                <w:noProof/>
                <w:sz w:val="28"/>
                <w:rtl/>
              </w:rPr>
              <w:fldChar w:fldCharType="end"/>
            </w:r>
          </w:hyperlink>
        </w:p>
        <w:p w14:paraId="27D9BD79" w14:textId="77777777" w:rsidR="002655C5" w:rsidRPr="002655C5" w:rsidRDefault="00040E57" w:rsidP="002655C5">
          <w:pPr>
            <w:pStyle w:val="TOC3"/>
            <w:tabs>
              <w:tab w:val="right" w:leader="dot" w:pos="9350"/>
            </w:tabs>
            <w:rPr>
              <w:rFonts w:ascii="NoorLotus" w:eastAsiaTheme="minorEastAsia" w:hAnsi="NoorLotus" w:cs="NoorLotus"/>
              <w:noProof/>
              <w:sz w:val="28"/>
            </w:rPr>
          </w:pPr>
          <w:hyperlink w:anchor="_Toc185400351" w:history="1">
            <w:r w:rsidR="002655C5" w:rsidRPr="002655C5">
              <w:rPr>
                <w:rStyle w:val="Hyperlink"/>
                <w:rFonts w:ascii="NoorLotus" w:hAnsi="NoorLotus" w:cs="NoorLotus"/>
                <w:noProof/>
                <w:sz w:val="28"/>
                <w:rtl/>
              </w:rPr>
              <w:t>بررسی روایت اول</w:t>
            </w:r>
            <w:r w:rsidR="002655C5" w:rsidRPr="002655C5">
              <w:rPr>
                <w:rFonts w:ascii="NoorLotus" w:hAnsi="NoorLotus" w:cs="NoorLotus"/>
                <w:noProof/>
                <w:webHidden/>
                <w:sz w:val="28"/>
              </w:rPr>
              <w:tab/>
            </w:r>
            <w:r w:rsidR="002655C5" w:rsidRPr="002655C5">
              <w:rPr>
                <w:rStyle w:val="Hyperlink"/>
                <w:rFonts w:ascii="NoorLotus" w:hAnsi="NoorLotus" w:cs="NoorLotus"/>
                <w:noProof/>
                <w:sz w:val="28"/>
                <w:rtl/>
              </w:rPr>
              <w:fldChar w:fldCharType="begin"/>
            </w:r>
            <w:r w:rsidR="002655C5" w:rsidRPr="002655C5">
              <w:rPr>
                <w:rFonts w:ascii="NoorLotus" w:hAnsi="NoorLotus" w:cs="NoorLotus"/>
                <w:noProof/>
                <w:webHidden/>
                <w:sz w:val="28"/>
              </w:rPr>
              <w:instrText xml:space="preserve"> PAGEREF _Toc185400351 \h </w:instrText>
            </w:r>
            <w:r w:rsidR="002655C5" w:rsidRPr="002655C5">
              <w:rPr>
                <w:rStyle w:val="Hyperlink"/>
                <w:rFonts w:ascii="NoorLotus" w:hAnsi="NoorLotus" w:cs="NoorLotus"/>
                <w:noProof/>
                <w:sz w:val="28"/>
                <w:rtl/>
              </w:rPr>
            </w:r>
            <w:r w:rsidR="002655C5" w:rsidRPr="002655C5">
              <w:rPr>
                <w:rStyle w:val="Hyperlink"/>
                <w:rFonts w:ascii="NoorLotus" w:hAnsi="NoorLotus" w:cs="NoorLotus"/>
                <w:noProof/>
                <w:sz w:val="28"/>
                <w:rtl/>
              </w:rPr>
              <w:fldChar w:fldCharType="separate"/>
            </w:r>
            <w:r w:rsidR="00EC7939">
              <w:rPr>
                <w:rFonts w:ascii="NoorLotus" w:hAnsi="NoorLotus" w:cs="NoorLotus"/>
                <w:noProof/>
                <w:webHidden/>
                <w:sz w:val="28"/>
                <w:rtl/>
              </w:rPr>
              <w:t>8</w:t>
            </w:r>
            <w:r w:rsidR="002655C5" w:rsidRPr="002655C5">
              <w:rPr>
                <w:rStyle w:val="Hyperlink"/>
                <w:rFonts w:ascii="NoorLotus" w:hAnsi="NoorLotus" w:cs="NoorLotus"/>
                <w:noProof/>
                <w:sz w:val="28"/>
                <w:rtl/>
              </w:rPr>
              <w:fldChar w:fldCharType="end"/>
            </w:r>
          </w:hyperlink>
        </w:p>
        <w:p w14:paraId="67468639" w14:textId="77777777" w:rsidR="002655C5" w:rsidRPr="002655C5" w:rsidRDefault="00040E57" w:rsidP="002655C5">
          <w:pPr>
            <w:pStyle w:val="TOC2"/>
            <w:tabs>
              <w:tab w:val="right" w:leader="dot" w:pos="9350"/>
            </w:tabs>
            <w:rPr>
              <w:rFonts w:ascii="NoorLotus" w:eastAsiaTheme="minorEastAsia" w:hAnsi="NoorLotus" w:cs="NoorLotus"/>
              <w:noProof/>
              <w:sz w:val="28"/>
            </w:rPr>
          </w:pPr>
          <w:hyperlink w:anchor="_Toc185400352" w:history="1">
            <w:r w:rsidR="002655C5" w:rsidRPr="002655C5">
              <w:rPr>
                <w:rStyle w:val="Hyperlink"/>
                <w:rFonts w:ascii="NoorLotus" w:hAnsi="NoorLotus" w:cs="NoorLotus"/>
                <w:noProof/>
                <w:sz w:val="28"/>
                <w:rtl/>
              </w:rPr>
              <w:t>روایت دوم: روایت ابی هشام جعفری</w:t>
            </w:r>
            <w:r w:rsidR="002655C5" w:rsidRPr="002655C5">
              <w:rPr>
                <w:rFonts w:ascii="NoorLotus" w:hAnsi="NoorLotus" w:cs="NoorLotus"/>
                <w:noProof/>
                <w:webHidden/>
                <w:sz w:val="28"/>
              </w:rPr>
              <w:tab/>
            </w:r>
            <w:r w:rsidR="002655C5" w:rsidRPr="002655C5">
              <w:rPr>
                <w:rStyle w:val="Hyperlink"/>
                <w:rFonts w:ascii="NoorLotus" w:hAnsi="NoorLotus" w:cs="NoorLotus"/>
                <w:noProof/>
                <w:sz w:val="28"/>
                <w:rtl/>
              </w:rPr>
              <w:fldChar w:fldCharType="begin"/>
            </w:r>
            <w:r w:rsidR="002655C5" w:rsidRPr="002655C5">
              <w:rPr>
                <w:rFonts w:ascii="NoorLotus" w:hAnsi="NoorLotus" w:cs="NoorLotus"/>
                <w:noProof/>
                <w:webHidden/>
                <w:sz w:val="28"/>
              </w:rPr>
              <w:instrText xml:space="preserve"> PAGEREF _Toc185400352 \h </w:instrText>
            </w:r>
            <w:r w:rsidR="002655C5" w:rsidRPr="002655C5">
              <w:rPr>
                <w:rStyle w:val="Hyperlink"/>
                <w:rFonts w:ascii="NoorLotus" w:hAnsi="NoorLotus" w:cs="NoorLotus"/>
                <w:noProof/>
                <w:sz w:val="28"/>
                <w:rtl/>
              </w:rPr>
            </w:r>
            <w:r w:rsidR="002655C5" w:rsidRPr="002655C5">
              <w:rPr>
                <w:rStyle w:val="Hyperlink"/>
                <w:rFonts w:ascii="NoorLotus" w:hAnsi="NoorLotus" w:cs="NoorLotus"/>
                <w:noProof/>
                <w:sz w:val="28"/>
                <w:rtl/>
              </w:rPr>
              <w:fldChar w:fldCharType="separate"/>
            </w:r>
            <w:r w:rsidR="00EC7939">
              <w:rPr>
                <w:rFonts w:ascii="NoorLotus" w:hAnsi="NoorLotus" w:cs="NoorLotus"/>
                <w:noProof/>
                <w:webHidden/>
                <w:sz w:val="28"/>
                <w:rtl/>
              </w:rPr>
              <w:t>9</w:t>
            </w:r>
            <w:r w:rsidR="002655C5" w:rsidRPr="002655C5">
              <w:rPr>
                <w:rStyle w:val="Hyperlink"/>
                <w:rFonts w:ascii="NoorLotus" w:hAnsi="NoorLotus" w:cs="NoorLotus"/>
                <w:noProof/>
                <w:sz w:val="28"/>
                <w:rtl/>
              </w:rPr>
              <w:fldChar w:fldCharType="end"/>
            </w:r>
          </w:hyperlink>
        </w:p>
        <w:p w14:paraId="17982C8D" w14:textId="77777777" w:rsidR="002655C5" w:rsidRPr="002655C5" w:rsidRDefault="00040E57" w:rsidP="002655C5">
          <w:pPr>
            <w:pStyle w:val="TOC3"/>
            <w:tabs>
              <w:tab w:val="right" w:leader="dot" w:pos="9350"/>
            </w:tabs>
            <w:rPr>
              <w:rFonts w:ascii="NoorLotus" w:eastAsiaTheme="minorEastAsia" w:hAnsi="NoorLotus" w:cs="NoorLotus"/>
              <w:noProof/>
              <w:sz w:val="28"/>
            </w:rPr>
          </w:pPr>
          <w:hyperlink w:anchor="_Toc185400353" w:history="1">
            <w:r w:rsidR="002655C5" w:rsidRPr="002655C5">
              <w:rPr>
                <w:rStyle w:val="Hyperlink"/>
                <w:rFonts w:ascii="NoorLotus" w:hAnsi="NoorLotus" w:cs="NoorLotus"/>
                <w:noProof/>
                <w:sz w:val="28"/>
                <w:rtl/>
              </w:rPr>
              <w:t>ایراد به استدلال به روایت دوم</w:t>
            </w:r>
            <w:r w:rsidR="002655C5" w:rsidRPr="002655C5">
              <w:rPr>
                <w:rFonts w:ascii="NoorLotus" w:hAnsi="NoorLotus" w:cs="NoorLotus"/>
                <w:noProof/>
                <w:webHidden/>
                <w:sz w:val="28"/>
              </w:rPr>
              <w:tab/>
            </w:r>
            <w:r w:rsidR="002655C5" w:rsidRPr="002655C5">
              <w:rPr>
                <w:rStyle w:val="Hyperlink"/>
                <w:rFonts w:ascii="NoorLotus" w:hAnsi="NoorLotus" w:cs="NoorLotus"/>
                <w:noProof/>
                <w:sz w:val="28"/>
                <w:rtl/>
              </w:rPr>
              <w:fldChar w:fldCharType="begin"/>
            </w:r>
            <w:r w:rsidR="002655C5" w:rsidRPr="002655C5">
              <w:rPr>
                <w:rFonts w:ascii="NoorLotus" w:hAnsi="NoorLotus" w:cs="NoorLotus"/>
                <w:noProof/>
                <w:webHidden/>
                <w:sz w:val="28"/>
              </w:rPr>
              <w:instrText xml:space="preserve"> PAGEREF _Toc185400353 \h </w:instrText>
            </w:r>
            <w:r w:rsidR="002655C5" w:rsidRPr="002655C5">
              <w:rPr>
                <w:rStyle w:val="Hyperlink"/>
                <w:rFonts w:ascii="NoorLotus" w:hAnsi="NoorLotus" w:cs="NoorLotus"/>
                <w:noProof/>
                <w:sz w:val="28"/>
                <w:rtl/>
              </w:rPr>
            </w:r>
            <w:r w:rsidR="002655C5" w:rsidRPr="002655C5">
              <w:rPr>
                <w:rStyle w:val="Hyperlink"/>
                <w:rFonts w:ascii="NoorLotus" w:hAnsi="NoorLotus" w:cs="NoorLotus"/>
                <w:noProof/>
                <w:sz w:val="28"/>
                <w:rtl/>
              </w:rPr>
              <w:fldChar w:fldCharType="separate"/>
            </w:r>
            <w:r w:rsidR="00EC7939">
              <w:rPr>
                <w:rFonts w:ascii="NoorLotus" w:hAnsi="NoorLotus" w:cs="NoorLotus"/>
                <w:noProof/>
                <w:webHidden/>
                <w:sz w:val="28"/>
                <w:rtl/>
              </w:rPr>
              <w:t>9</w:t>
            </w:r>
            <w:r w:rsidR="002655C5" w:rsidRPr="002655C5">
              <w:rPr>
                <w:rStyle w:val="Hyperlink"/>
                <w:rFonts w:ascii="NoorLotus" w:hAnsi="NoorLotus" w:cs="NoorLotus"/>
                <w:noProof/>
                <w:sz w:val="28"/>
                <w:rtl/>
              </w:rPr>
              <w:fldChar w:fldCharType="end"/>
            </w:r>
          </w:hyperlink>
        </w:p>
        <w:p w14:paraId="43F1C9A8" w14:textId="77777777" w:rsidR="002655C5" w:rsidRPr="002655C5" w:rsidRDefault="00040E57" w:rsidP="002655C5">
          <w:pPr>
            <w:pStyle w:val="TOC3"/>
            <w:tabs>
              <w:tab w:val="right" w:leader="dot" w:pos="9350"/>
            </w:tabs>
            <w:rPr>
              <w:rFonts w:ascii="NoorLotus" w:eastAsiaTheme="minorEastAsia" w:hAnsi="NoorLotus" w:cs="NoorLotus"/>
              <w:noProof/>
              <w:sz w:val="28"/>
            </w:rPr>
          </w:pPr>
          <w:hyperlink w:anchor="_Toc185400354" w:history="1">
            <w:r w:rsidR="002655C5" w:rsidRPr="002655C5">
              <w:rPr>
                <w:rStyle w:val="Hyperlink"/>
                <w:rFonts w:ascii="NoorLotus" w:hAnsi="NoorLotus" w:cs="NoorLotus"/>
                <w:noProof/>
                <w:sz w:val="28"/>
                <w:rtl/>
              </w:rPr>
              <w:t>ایراد اول</w:t>
            </w:r>
            <w:r w:rsidR="002655C5" w:rsidRPr="002655C5">
              <w:rPr>
                <w:rFonts w:ascii="NoorLotus" w:hAnsi="NoorLotus" w:cs="NoorLotus"/>
                <w:noProof/>
                <w:webHidden/>
                <w:sz w:val="28"/>
              </w:rPr>
              <w:tab/>
            </w:r>
            <w:r w:rsidR="002655C5" w:rsidRPr="002655C5">
              <w:rPr>
                <w:rStyle w:val="Hyperlink"/>
                <w:rFonts w:ascii="NoorLotus" w:hAnsi="NoorLotus" w:cs="NoorLotus"/>
                <w:noProof/>
                <w:sz w:val="28"/>
                <w:rtl/>
              </w:rPr>
              <w:fldChar w:fldCharType="begin"/>
            </w:r>
            <w:r w:rsidR="002655C5" w:rsidRPr="002655C5">
              <w:rPr>
                <w:rFonts w:ascii="NoorLotus" w:hAnsi="NoorLotus" w:cs="NoorLotus"/>
                <w:noProof/>
                <w:webHidden/>
                <w:sz w:val="28"/>
              </w:rPr>
              <w:instrText xml:space="preserve"> PAGEREF _Toc185400354 \h </w:instrText>
            </w:r>
            <w:r w:rsidR="002655C5" w:rsidRPr="002655C5">
              <w:rPr>
                <w:rStyle w:val="Hyperlink"/>
                <w:rFonts w:ascii="NoorLotus" w:hAnsi="NoorLotus" w:cs="NoorLotus"/>
                <w:noProof/>
                <w:sz w:val="28"/>
                <w:rtl/>
              </w:rPr>
            </w:r>
            <w:r w:rsidR="002655C5" w:rsidRPr="002655C5">
              <w:rPr>
                <w:rStyle w:val="Hyperlink"/>
                <w:rFonts w:ascii="NoorLotus" w:hAnsi="NoorLotus" w:cs="NoorLotus"/>
                <w:noProof/>
                <w:sz w:val="28"/>
                <w:rtl/>
              </w:rPr>
              <w:fldChar w:fldCharType="separate"/>
            </w:r>
            <w:r w:rsidR="00EC7939">
              <w:rPr>
                <w:rFonts w:ascii="NoorLotus" w:hAnsi="NoorLotus" w:cs="NoorLotus"/>
                <w:noProof/>
                <w:webHidden/>
                <w:sz w:val="28"/>
                <w:rtl/>
              </w:rPr>
              <w:t>9</w:t>
            </w:r>
            <w:r w:rsidR="002655C5" w:rsidRPr="002655C5">
              <w:rPr>
                <w:rStyle w:val="Hyperlink"/>
                <w:rFonts w:ascii="NoorLotus" w:hAnsi="NoorLotus" w:cs="NoorLotus"/>
                <w:noProof/>
                <w:sz w:val="28"/>
                <w:rtl/>
              </w:rPr>
              <w:fldChar w:fldCharType="end"/>
            </w:r>
          </w:hyperlink>
        </w:p>
        <w:p w14:paraId="2DD200DB" w14:textId="77777777" w:rsidR="002655C5" w:rsidRPr="002655C5" w:rsidRDefault="00040E57" w:rsidP="002655C5">
          <w:pPr>
            <w:pStyle w:val="TOC3"/>
            <w:tabs>
              <w:tab w:val="right" w:leader="dot" w:pos="9350"/>
            </w:tabs>
            <w:rPr>
              <w:rFonts w:ascii="NoorLotus" w:eastAsiaTheme="minorEastAsia" w:hAnsi="NoorLotus" w:cs="NoorLotus"/>
              <w:noProof/>
              <w:sz w:val="28"/>
            </w:rPr>
          </w:pPr>
          <w:hyperlink w:anchor="_Toc185400355" w:history="1">
            <w:r w:rsidR="002655C5" w:rsidRPr="002655C5">
              <w:rPr>
                <w:rStyle w:val="Hyperlink"/>
                <w:rFonts w:ascii="NoorLotus" w:hAnsi="NoorLotus" w:cs="NoorLotus"/>
                <w:noProof/>
                <w:sz w:val="28"/>
                <w:rtl/>
              </w:rPr>
              <w:t>ایراد دوم: جواب شیخ انصاری</w:t>
            </w:r>
            <w:r w:rsidR="002655C5" w:rsidRPr="002655C5">
              <w:rPr>
                <w:rFonts w:ascii="NoorLotus" w:hAnsi="NoorLotus" w:cs="NoorLotus"/>
                <w:noProof/>
                <w:webHidden/>
                <w:sz w:val="28"/>
              </w:rPr>
              <w:tab/>
            </w:r>
            <w:r w:rsidR="002655C5" w:rsidRPr="002655C5">
              <w:rPr>
                <w:rStyle w:val="Hyperlink"/>
                <w:rFonts w:ascii="NoorLotus" w:hAnsi="NoorLotus" w:cs="NoorLotus"/>
                <w:noProof/>
                <w:sz w:val="28"/>
                <w:rtl/>
              </w:rPr>
              <w:fldChar w:fldCharType="begin"/>
            </w:r>
            <w:r w:rsidR="002655C5" w:rsidRPr="002655C5">
              <w:rPr>
                <w:rFonts w:ascii="NoorLotus" w:hAnsi="NoorLotus" w:cs="NoorLotus"/>
                <w:noProof/>
                <w:webHidden/>
                <w:sz w:val="28"/>
              </w:rPr>
              <w:instrText xml:space="preserve"> PAGEREF _Toc185400355 \h </w:instrText>
            </w:r>
            <w:r w:rsidR="002655C5" w:rsidRPr="002655C5">
              <w:rPr>
                <w:rStyle w:val="Hyperlink"/>
                <w:rFonts w:ascii="NoorLotus" w:hAnsi="NoorLotus" w:cs="NoorLotus"/>
                <w:noProof/>
                <w:sz w:val="28"/>
                <w:rtl/>
              </w:rPr>
            </w:r>
            <w:r w:rsidR="002655C5" w:rsidRPr="002655C5">
              <w:rPr>
                <w:rStyle w:val="Hyperlink"/>
                <w:rFonts w:ascii="NoorLotus" w:hAnsi="NoorLotus" w:cs="NoorLotus"/>
                <w:noProof/>
                <w:sz w:val="28"/>
                <w:rtl/>
              </w:rPr>
              <w:fldChar w:fldCharType="separate"/>
            </w:r>
            <w:r w:rsidR="00EC7939">
              <w:rPr>
                <w:rFonts w:ascii="NoorLotus" w:hAnsi="NoorLotus" w:cs="NoorLotus"/>
                <w:noProof/>
                <w:webHidden/>
                <w:sz w:val="28"/>
                <w:rtl/>
              </w:rPr>
              <w:t>9</w:t>
            </w:r>
            <w:r w:rsidR="002655C5" w:rsidRPr="002655C5">
              <w:rPr>
                <w:rStyle w:val="Hyperlink"/>
                <w:rFonts w:ascii="NoorLotus" w:hAnsi="NoorLotus" w:cs="NoorLotus"/>
                <w:noProof/>
                <w:sz w:val="28"/>
                <w:rtl/>
              </w:rPr>
              <w:fldChar w:fldCharType="end"/>
            </w:r>
          </w:hyperlink>
        </w:p>
        <w:p w14:paraId="6C77AEB1" w14:textId="77777777" w:rsidR="002655C5" w:rsidRPr="002655C5" w:rsidRDefault="00040E57" w:rsidP="002655C5">
          <w:pPr>
            <w:pStyle w:val="TOC2"/>
            <w:tabs>
              <w:tab w:val="right" w:leader="dot" w:pos="9350"/>
            </w:tabs>
            <w:rPr>
              <w:rFonts w:ascii="NoorLotus" w:eastAsiaTheme="minorEastAsia" w:hAnsi="NoorLotus" w:cs="NoorLotus"/>
              <w:noProof/>
              <w:sz w:val="28"/>
            </w:rPr>
          </w:pPr>
          <w:hyperlink w:anchor="_Toc185400356" w:history="1">
            <w:r w:rsidR="002655C5" w:rsidRPr="002655C5">
              <w:rPr>
                <w:rStyle w:val="Hyperlink"/>
                <w:rFonts w:ascii="NoorLotus" w:hAnsi="NoorLotus" w:cs="NoorLotus"/>
                <w:noProof/>
                <w:sz w:val="28"/>
                <w:rtl/>
              </w:rPr>
              <w:t>روایت سوم: صحیحه عبدالرحمن بن حجاج</w:t>
            </w:r>
            <w:r w:rsidR="002655C5" w:rsidRPr="002655C5">
              <w:rPr>
                <w:rFonts w:ascii="NoorLotus" w:hAnsi="NoorLotus" w:cs="NoorLotus"/>
                <w:noProof/>
                <w:webHidden/>
                <w:sz w:val="28"/>
              </w:rPr>
              <w:tab/>
            </w:r>
            <w:r w:rsidR="002655C5" w:rsidRPr="002655C5">
              <w:rPr>
                <w:rStyle w:val="Hyperlink"/>
                <w:rFonts w:ascii="NoorLotus" w:hAnsi="NoorLotus" w:cs="NoorLotus"/>
                <w:noProof/>
                <w:sz w:val="28"/>
                <w:rtl/>
              </w:rPr>
              <w:fldChar w:fldCharType="begin"/>
            </w:r>
            <w:r w:rsidR="002655C5" w:rsidRPr="002655C5">
              <w:rPr>
                <w:rFonts w:ascii="NoorLotus" w:hAnsi="NoorLotus" w:cs="NoorLotus"/>
                <w:noProof/>
                <w:webHidden/>
                <w:sz w:val="28"/>
              </w:rPr>
              <w:instrText xml:space="preserve"> PAGEREF _Toc185400356 \h </w:instrText>
            </w:r>
            <w:r w:rsidR="002655C5" w:rsidRPr="002655C5">
              <w:rPr>
                <w:rStyle w:val="Hyperlink"/>
                <w:rFonts w:ascii="NoorLotus" w:hAnsi="NoorLotus" w:cs="NoorLotus"/>
                <w:noProof/>
                <w:sz w:val="28"/>
                <w:rtl/>
              </w:rPr>
            </w:r>
            <w:r w:rsidR="002655C5" w:rsidRPr="002655C5">
              <w:rPr>
                <w:rStyle w:val="Hyperlink"/>
                <w:rFonts w:ascii="NoorLotus" w:hAnsi="NoorLotus" w:cs="NoorLotus"/>
                <w:noProof/>
                <w:sz w:val="28"/>
                <w:rtl/>
              </w:rPr>
              <w:fldChar w:fldCharType="separate"/>
            </w:r>
            <w:r w:rsidR="00EC7939">
              <w:rPr>
                <w:rFonts w:ascii="NoorLotus" w:hAnsi="NoorLotus" w:cs="NoorLotus"/>
                <w:noProof/>
                <w:webHidden/>
                <w:sz w:val="28"/>
                <w:rtl/>
              </w:rPr>
              <w:t>11</w:t>
            </w:r>
            <w:r w:rsidR="002655C5" w:rsidRPr="002655C5">
              <w:rPr>
                <w:rStyle w:val="Hyperlink"/>
                <w:rFonts w:ascii="NoorLotus" w:hAnsi="NoorLotus" w:cs="NoorLotus"/>
                <w:noProof/>
                <w:sz w:val="28"/>
                <w:rtl/>
              </w:rPr>
              <w:fldChar w:fldCharType="end"/>
            </w:r>
          </w:hyperlink>
        </w:p>
        <w:p w14:paraId="4675B409" w14:textId="77777777" w:rsidR="002655C5" w:rsidRDefault="00040E57" w:rsidP="002655C5">
          <w:pPr>
            <w:pStyle w:val="TOC3"/>
            <w:tabs>
              <w:tab w:val="right" w:leader="dot" w:pos="9350"/>
            </w:tabs>
            <w:rPr>
              <w:rFonts w:eastAsiaTheme="minorEastAsia" w:cstheme="minorBidi"/>
              <w:noProof/>
              <w:szCs w:val="22"/>
            </w:rPr>
          </w:pPr>
          <w:hyperlink w:anchor="_Toc185400357" w:history="1">
            <w:r w:rsidR="002655C5" w:rsidRPr="002655C5">
              <w:rPr>
                <w:rStyle w:val="Hyperlink"/>
                <w:rFonts w:ascii="NoorLotus" w:hAnsi="NoorLotus" w:cs="NoorLotus"/>
                <w:noProof/>
                <w:sz w:val="28"/>
                <w:rtl/>
              </w:rPr>
              <w:t>بررسی روایت سوم</w:t>
            </w:r>
            <w:r w:rsidR="002655C5" w:rsidRPr="002655C5">
              <w:rPr>
                <w:rFonts w:ascii="NoorLotus" w:hAnsi="NoorLotus" w:cs="NoorLotus"/>
                <w:noProof/>
                <w:webHidden/>
                <w:sz w:val="28"/>
              </w:rPr>
              <w:tab/>
            </w:r>
            <w:r w:rsidR="002655C5" w:rsidRPr="002655C5">
              <w:rPr>
                <w:rStyle w:val="Hyperlink"/>
                <w:rFonts w:ascii="NoorLotus" w:hAnsi="NoorLotus" w:cs="NoorLotus"/>
                <w:noProof/>
                <w:sz w:val="28"/>
                <w:rtl/>
              </w:rPr>
              <w:fldChar w:fldCharType="begin"/>
            </w:r>
            <w:r w:rsidR="002655C5" w:rsidRPr="002655C5">
              <w:rPr>
                <w:rFonts w:ascii="NoorLotus" w:hAnsi="NoorLotus" w:cs="NoorLotus"/>
                <w:noProof/>
                <w:webHidden/>
                <w:sz w:val="28"/>
              </w:rPr>
              <w:instrText xml:space="preserve"> PAGEREF _Toc185400357 \h </w:instrText>
            </w:r>
            <w:r w:rsidR="002655C5" w:rsidRPr="002655C5">
              <w:rPr>
                <w:rStyle w:val="Hyperlink"/>
                <w:rFonts w:ascii="NoorLotus" w:hAnsi="NoorLotus" w:cs="NoorLotus"/>
                <w:noProof/>
                <w:sz w:val="28"/>
                <w:rtl/>
              </w:rPr>
            </w:r>
            <w:r w:rsidR="002655C5" w:rsidRPr="002655C5">
              <w:rPr>
                <w:rStyle w:val="Hyperlink"/>
                <w:rFonts w:ascii="NoorLotus" w:hAnsi="NoorLotus" w:cs="NoorLotus"/>
                <w:noProof/>
                <w:sz w:val="28"/>
                <w:rtl/>
              </w:rPr>
              <w:fldChar w:fldCharType="separate"/>
            </w:r>
            <w:r w:rsidR="00EC7939">
              <w:rPr>
                <w:rFonts w:ascii="NoorLotus" w:hAnsi="NoorLotus" w:cs="NoorLotus"/>
                <w:noProof/>
                <w:webHidden/>
                <w:sz w:val="28"/>
                <w:rtl/>
              </w:rPr>
              <w:t>11</w:t>
            </w:r>
            <w:r w:rsidR="002655C5" w:rsidRPr="002655C5">
              <w:rPr>
                <w:rStyle w:val="Hyperlink"/>
                <w:rFonts w:ascii="NoorLotus" w:hAnsi="NoorLotus" w:cs="NoorLotus"/>
                <w:noProof/>
                <w:sz w:val="28"/>
                <w:rtl/>
              </w:rPr>
              <w:fldChar w:fldCharType="end"/>
            </w:r>
          </w:hyperlink>
        </w:p>
        <w:p w14:paraId="04AAAFB2" w14:textId="6084A8EE" w:rsidR="00B42957" w:rsidRPr="002D2F84" w:rsidRDefault="00B42957" w:rsidP="002655C5">
          <w:pPr>
            <w:jc w:val="both"/>
            <w:rPr>
              <w:rFonts w:ascii="NoorLotus" w:hAnsi="NoorLotus" w:cs="NoorLotus"/>
              <w:rtl/>
            </w:rPr>
          </w:pPr>
          <w:r w:rsidRPr="002D2F84">
            <w:rPr>
              <w:rFonts w:ascii="NoorLotus" w:hAnsi="NoorLotus" w:cs="NoorLotus"/>
              <w:b/>
              <w:bCs/>
              <w:noProof/>
            </w:rPr>
            <w:fldChar w:fldCharType="end"/>
          </w:r>
        </w:p>
      </w:sdtContent>
    </w:sdt>
    <w:p w14:paraId="4D8D3669" w14:textId="56274D52" w:rsidR="00D50B47" w:rsidRPr="002D2F84" w:rsidRDefault="00976D7E" w:rsidP="002655C5">
      <w:pPr>
        <w:jc w:val="center"/>
        <w:rPr>
          <w:rFonts w:ascii="NoorLotus" w:hAnsi="NoorLotus" w:cs="NoorLotus"/>
          <w:rtl/>
        </w:rPr>
      </w:pPr>
      <w:r w:rsidRPr="002D2F84">
        <w:rPr>
          <w:rFonts w:ascii="NoorLotus" w:hAnsi="NoorLotus" w:cs="NoorLotus"/>
          <w:rtl/>
        </w:rPr>
        <w:t>بسم الله الرحمن الرحیم</w:t>
      </w:r>
    </w:p>
    <w:p w14:paraId="462CF5B7" w14:textId="79FBC037" w:rsidR="00976D7E" w:rsidRDefault="00976D7E" w:rsidP="002655C5">
      <w:pPr>
        <w:pStyle w:val="Heading1"/>
        <w:jc w:val="both"/>
        <w:rPr>
          <w:rtl/>
        </w:rPr>
      </w:pPr>
      <w:bookmarkStart w:id="0" w:name="_Toc185400339"/>
      <w:r w:rsidRPr="002D2F84">
        <w:rPr>
          <w:rtl/>
        </w:rPr>
        <w:t>ادامه بررسی ادله وجوب احتیاط در شبهات حکمیه تحریمه</w:t>
      </w:r>
      <w:bookmarkEnd w:id="0"/>
    </w:p>
    <w:p w14:paraId="66193CDA" w14:textId="528B6A97" w:rsidR="002D2F84" w:rsidRPr="002D2F84" w:rsidRDefault="002D2F84" w:rsidP="002655C5">
      <w:pPr>
        <w:pStyle w:val="Heading1"/>
        <w:rPr>
          <w:rtl/>
        </w:rPr>
      </w:pPr>
      <w:bookmarkStart w:id="1" w:name="_Toc185400340"/>
      <w:r>
        <w:rPr>
          <w:rFonts w:hint="cs"/>
          <w:rtl/>
        </w:rPr>
        <w:t>ادامه بررسی طایفه دوم</w:t>
      </w:r>
      <w:bookmarkEnd w:id="1"/>
    </w:p>
    <w:p w14:paraId="7A9497D3" w14:textId="1893FA06" w:rsidR="00976D7E" w:rsidRPr="002D2F84" w:rsidRDefault="00976D7E" w:rsidP="002655C5">
      <w:pPr>
        <w:pStyle w:val="NoSpacing"/>
        <w:jc w:val="both"/>
        <w:rPr>
          <w:rtl/>
        </w:rPr>
      </w:pPr>
      <w:r w:rsidRPr="002D2F84">
        <w:rPr>
          <w:rtl/>
        </w:rPr>
        <w:t>بحث در بررسی روایاتی بود که به آن‌ها بر وجوب احتیاط در شبهات حکمیه تحریمیه استدلال شده بود. این روایات سه طایفه‌ی بو</w:t>
      </w:r>
      <w:r w:rsidR="00270A22" w:rsidRPr="002D2F84">
        <w:rPr>
          <w:rtl/>
        </w:rPr>
        <w:t xml:space="preserve">دند. طایفه‌ی اول که مفاد آن‌ها </w:t>
      </w:r>
      <w:r w:rsidR="00270A22" w:rsidRPr="002D2F84">
        <w:rPr>
          <w:sz w:val="28"/>
          <w:rtl/>
        </w:rPr>
        <w:t xml:space="preserve">آن‌ها </w:t>
      </w:r>
      <w:r w:rsidR="00270A22" w:rsidRPr="002D2F84">
        <w:rPr>
          <w:color w:val="0070C0"/>
          <w:sz w:val="28"/>
          <w:rtl/>
        </w:rPr>
        <w:t>«فانّ الْوُقُوفُ‏ عِنْدَ الشُّبْهَةِ خَيْرٌ مِنَ الِاقْتِحَامِ فِي الْهَلَكَةِ»</w:t>
      </w:r>
      <w:r w:rsidR="00270A22" w:rsidRPr="002D2F84">
        <w:rPr>
          <w:rStyle w:val="FootnoteReference"/>
          <w:color w:val="0070C0"/>
          <w:sz w:val="28"/>
          <w:rtl/>
        </w:rPr>
        <w:footnoteReference w:id="1"/>
      </w:r>
      <w:r w:rsidR="00270A22" w:rsidRPr="002D2F84">
        <w:rPr>
          <w:rtl/>
        </w:rPr>
        <w:t xml:space="preserve"> </w:t>
      </w:r>
      <w:r w:rsidR="002D2F84">
        <w:rPr>
          <w:rtl/>
        </w:rPr>
        <w:t>است</w:t>
      </w:r>
      <w:r w:rsidR="002D2F84">
        <w:rPr>
          <w:rFonts w:hint="cs"/>
          <w:rtl/>
        </w:rPr>
        <w:t>،</w:t>
      </w:r>
      <w:r w:rsidR="002D2F84">
        <w:rPr>
          <w:rtl/>
        </w:rPr>
        <w:t xml:space="preserve"> </w:t>
      </w:r>
      <w:r w:rsidR="002D2F84">
        <w:rPr>
          <w:rFonts w:hint="cs"/>
          <w:rtl/>
        </w:rPr>
        <w:t>بررسی شد</w:t>
      </w:r>
      <w:r w:rsidRPr="002D2F84">
        <w:rPr>
          <w:rtl/>
        </w:rPr>
        <w:t xml:space="preserve">. بحث در بررسی طایفه‌ی دوم بود که مشتمل بر تثلیث است و وقایع را سه قسم می‌کند روایت اول که مقبوله عمر بن حنظله بود را بررسی کردیم. </w:t>
      </w:r>
    </w:p>
    <w:p w14:paraId="7E41E559" w14:textId="7F6CA2B4" w:rsidR="00270A22" w:rsidRPr="002D2F84" w:rsidRDefault="005C6617" w:rsidP="002655C5">
      <w:pPr>
        <w:pStyle w:val="Heading2"/>
        <w:rPr>
          <w:rtl/>
        </w:rPr>
      </w:pPr>
      <w:bookmarkStart w:id="2" w:name="_Toc185400341"/>
      <w:r w:rsidRPr="002D2F84">
        <w:rPr>
          <w:rtl/>
        </w:rPr>
        <w:t xml:space="preserve">روایت دوم: </w:t>
      </w:r>
      <w:r w:rsidR="00270A22" w:rsidRPr="002D2F84">
        <w:rPr>
          <w:rtl/>
        </w:rPr>
        <w:t>روایت جمیل بن صالح</w:t>
      </w:r>
      <w:bookmarkEnd w:id="2"/>
    </w:p>
    <w:p w14:paraId="08E06A5B" w14:textId="77777777" w:rsidR="00D00FE5" w:rsidRPr="002D2F84" w:rsidRDefault="005C6617" w:rsidP="002655C5">
      <w:pPr>
        <w:pStyle w:val="NoSpacing"/>
        <w:jc w:val="both"/>
        <w:rPr>
          <w:color w:val="0070C0"/>
          <w:rtl/>
        </w:rPr>
      </w:pPr>
      <w:r w:rsidRPr="002D2F84">
        <w:rPr>
          <w:color w:val="0070C0"/>
          <w:rtl/>
        </w:rPr>
        <w:t>«</w:t>
      </w:r>
      <w:r w:rsidR="00270A22" w:rsidRPr="002D2F84">
        <w:rPr>
          <w:color w:val="0070C0"/>
          <w:rtl/>
        </w:rPr>
        <w:t>وَ بِإِسْنَادِهِ عَنْ عَلِيِّ بْنِ مَهْزِيَارَ عَنِ الْحُسَيْنِ بْنِ سَعِيدٍ</w:t>
      </w:r>
      <w:r w:rsidR="00270A22" w:rsidRPr="002D2F84">
        <w:rPr>
          <w:rFonts w:eastAsia="Times New Roman"/>
          <w:color w:val="0070C0"/>
          <w:vertAlign w:val="superscript"/>
          <w:rtl/>
        </w:rPr>
        <w:t xml:space="preserve"> </w:t>
      </w:r>
      <w:r w:rsidR="00270A22" w:rsidRPr="002D2F84">
        <w:rPr>
          <w:color w:val="0070C0"/>
          <w:rtl/>
        </w:rPr>
        <w:t>عَنِ الْحَارِثِ بْنِ مُحَمَّدِ بْنِ النُّعْمَانِ الْأَحْوَلِ عَنْ جَمِيلِ بْنِ صَالِحٍ عَنِ الصَّادِقِ ع عَنْ آبَائِهِ ع قَالَ: قَالَ رَسُولُ اللَّهِ ص فِي كَلَامٍ طَوِيلٍ‏ الْأُمُورُ ثَلَاثَةٌ أَمْرٌ تَبَيَّنَ لَكَ رُشْدُهُ فَاتَّبِعْهُ وَ أَمْرٌ تَبَيَّنَ لَكَ غَيُّهُ فَاجْتَنِبْهُ وَ أَمْرٌ اخْتُلِفَ فِيهِ فَرُدَّهُ إِلَى اللَّهِ عَزَّ وَ جَلَّ</w:t>
      </w:r>
      <w:r w:rsidRPr="002D2F84">
        <w:rPr>
          <w:color w:val="0070C0"/>
          <w:rtl/>
        </w:rPr>
        <w:t>»</w:t>
      </w:r>
      <w:r w:rsidRPr="002D2F84">
        <w:rPr>
          <w:rStyle w:val="FootnoteReference"/>
          <w:color w:val="0070C0"/>
          <w:rtl/>
        </w:rPr>
        <w:footnoteReference w:id="2"/>
      </w:r>
      <w:r w:rsidR="00D00FE5" w:rsidRPr="002D2F84">
        <w:rPr>
          <w:color w:val="0070C0"/>
          <w:rtl/>
        </w:rPr>
        <w:t xml:space="preserve"> </w:t>
      </w:r>
    </w:p>
    <w:p w14:paraId="463C83AE" w14:textId="2D630489" w:rsidR="005C6617" w:rsidRPr="002D2F84" w:rsidRDefault="005C6617" w:rsidP="002655C5">
      <w:pPr>
        <w:pStyle w:val="NoSpacing"/>
        <w:jc w:val="both"/>
        <w:rPr>
          <w:color w:val="0070C0"/>
          <w:rtl/>
        </w:rPr>
      </w:pPr>
      <w:r w:rsidRPr="002D2F84">
        <w:rPr>
          <w:rtl/>
        </w:rPr>
        <w:t>سند این روایت قابل تصحیح است. حارث بن محمد بن نعمان بن احول از مشایخ ابن أبی عمیر است لذا اشکال آیت الله سیستانی حفظه الله در سند این روایت به سبب جهالت این شخ</w:t>
      </w:r>
      <w:r w:rsidR="002D2F84">
        <w:rPr>
          <w:rtl/>
        </w:rPr>
        <w:t>ص منافات با مبنای ایشان دار</w:t>
      </w:r>
      <w:r w:rsidRPr="002D2F84">
        <w:rPr>
          <w:rtl/>
        </w:rPr>
        <w:t>د زیرا ایشان نیز به‌خاطر شهادت شیخ طوسی رحمه الله که فرمودند «</w:t>
      </w:r>
      <w:r w:rsidR="00D00FE5" w:rsidRPr="002D2F84">
        <w:rPr>
          <w:sz w:val="34"/>
          <w:rtl/>
        </w:rPr>
        <w:t>ابن ‌ابی عمیر و صفوان و بزنطی عرفوا بانهم لا یروون و لا یرسلون الا عن ثق</w:t>
      </w:r>
      <w:r w:rsidR="002D2F84">
        <w:rPr>
          <w:rFonts w:hint="cs"/>
          <w:sz w:val="34"/>
          <w:rtl/>
        </w:rPr>
        <w:t>ة</w:t>
      </w:r>
      <w:r w:rsidRPr="002D2F84">
        <w:rPr>
          <w:rtl/>
        </w:rPr>
        <w:t>»</w:t>
      </w:r>
      <w:r w:rsidR="00D00FE5" w:rsidRPr="002D2F84">
        <w:rPr>
          <w:rStyle w:val="FootnoteReference"/>
          <w:rtl/>
        </w:rPr>
        <w:footnoteReference w:id="3"/>
      </w:r>
      <w:r w:rsidRPr="002D2F84">
        <w:rPr>
          <w:rtl/>
        </w:rPr>
        <w:t xml:space="preserve"> مشایخ أبی عمیر را ثقه می‌دانند. </w:t>
      </w:r>
    </w:p>
    <w:p w14:paraId="501DC4FE" w14:textId="3B49B9D0" w:rsidR="005C6617" w:rsidRPr="002D2F84" w:rsidRDefault="005C6617" w:rsidP="002655C5">
      <w:pPr>
        <w:pStyle w:val="NoSpacing"/>
        <w:jc w:val="both"/>
        <w:rPr>
          <w:rtl/>
        </w:rPr>
      </w:pPr>
      <w:r w:rsidRPr="002D2F84">
        <w:rPr>
          <w:rtl/>
        </w:rPr>
        <w:lastRenderedPageBreak/>
        <w:t>جمیل بن صالح نیز توثیق خاص دارد و نجاشی ایشان را توثیق کرده است</w:t>
      </w:r>
      <w:r w:rsidR="00D00FE5" w:rsidRPr="002D2F84">
        <w:rPr>
          <w:rStyle w:val="FootnoteReference"/>
          <w:rtl/>
        </w:rPr>
        <w:footnoteReference w:id="4"/>
      </w:r>
      <w:r w:rsidRPr="002D2F84">
        <w:rPr>
          <w:rtl/>
        </w:rPr>
        <w:t>.</w:t>
      </w:r>
    </w:p>
    <w:p w14:paraId="41A6BE39" w14:textId="5BE3240F" w:rsidR="0072240C" w:rsidRPr="002D2F84" w:rsidRDefault="005C6617" w:rsidP="002655C5">
      <w:pPr>
        <w:pStyle w:val="NoSpacing"/>
        <w:jc w:val="both"/>
        <w:rPr>
          <w:rtl/>
        </w:rPr>
      </w:pPr>
      <w:r w:rsidRPr="002D2F84">
        <w:rPr>
          <w:rtl/>
        </w:rPr>
        <w:t>تقریب استدلال: شبهه‌ی حکمیه تحریمیه بیّن الغی و بیّن الرشد نیست و مختلف فیه است یعنی مشکوک است و باید آن را به خداوند متعال رد کرد و از جهت علم و عمل در</w:t>
      </w:r>
      <w:r w:rsidR="002D2F84">
        <w:rPr>
          <w:rFonts w:hint="cs"/>
          <w:rtl/>
        </w:rPr>
        <w:t xml:space="preserve"> </w:t>
      </w:r>
      <w:r w:rsidRPr="002D2F84">
        <w:rPr>
          <w:rtl/>
        </w:rPr>
        <w:t>آن توقف کرد یعنی هم فتوا داده نشود و هم در عمل احتیاط شود.</w:t>
      </w:r>
    </w:p>
    <w:p w14:paraId="5C9CB7BA" w14:textId="77777777" w:rsidR="0072240C" w:rsidRPr="002D2F84" w:rsidRDefault="0072240C" w:rsidP="002655C5">
      <w:pPr>
        <w:pStyle w:val="Heading2"/>
        <w:jc w:val="both"/>
        <w:rPr>
          <w:rtl/>
        </w:rPr>
      </w:pPr>
      <w:bookmarkStart w:id="4" w:name="_Toc185400342"/>
      <w:r w:rsidRPr="002D2F84">
        <w:rPr>
          <w:rtl/>
        </w:rPr>
        <w:t>بررسی روایت دوم</w:t>
      </w:r>
      <w:bookmarkEnd w:id="4"/>
    </w:p>
    <w:p w14:paraId="0F1A7D94" w14:textId="52CF6C17" w:rsidR="00D54C5A" w:rsidRPr="002D2F84" w:rsidRDefault="00D54C5A" w:rsidP="002655C5">
      <w:pPr>
        <w:pStyle w:val="Heading3"/>
        <w:rPr>
          <w:rtl/>
        </w:rPr>
      </w:pPr>
      <w:bookmarkStart w:id="5" w:name="_Toc185400343"/>
      <w:r w:rsidRPr="002D2F84">
        <w:rPr>
          <w:rtl/>
        </w:rPr>
        <w:t>جواب اول: بیان شهید صدر رحمه الله</w:t>
      </w:r>
      <w:bookmarkEnd w:id="5"/>
    </w:p>
    <w:p w14:paraId="6381A8C6" w14:textId="46B9685C" w:rsidR="005C6617" w:rsidRPr="002D2F84" w:rsidRDefault="0072240C" w:rsidP="002655C5">
      <w:pPr>
        <w:pStyle w:val="NoSpacing"/>
        <w:jc w:val="both"/>
        <w:rPr>
          <w:rtl/>
        </w:rPr>
      </w:pPr>
      <w:r w:rsidRPr="002D2F84">
        <w:rPr>
          <w:rtl/>
        </w:rPr>
        <w:t>شهید صدر رحمه الله فرموده‌اند:</w:t>
      </w:r>
      <w:r w:rsidR="00D54C5A" w:rsidRPr="002D2F84">
        <w:rPr>
          <w:rtl/>
        </w:rPr>
        <w:t xml:space="preserve"> اولا:</w:t>
      </w:r>
      <w:r w:rsidRPr="002D2F84">
        <w:rPr>
          <w:rtl/>
        </w:rPr>
        <w:t xml:space="preserve"> تعبیر «بیّن الرشد» و «بیّن الغی» با مدرکات عقل عملی مناسب است</w:t>
      </w:r>
      <w:r w:rsidR="00431FE7" w:rsidRPr="002D2F84">
        <w:rPr>
          <w:rtl/>
        </w:rPr>
        <w:t xml:space="preserve">. هر آن چیزی که عقلا بیّن الرشد است انسان به آن عمل می‌کند و آن چیزی را که عقلا بیّن الغی است ترک می‌کند و نسبت به آن چیزی که از نظر حکم عقل مشکوک است </w:t>
      </w:r>
      <w:r w:rsidR="005C6617" w:rsidRPr="002D2F84">
        <w:rPr>
          <w:rtl/>
        </w:rPr>
        <w:t xml:space="preserve"> </w:t>
      </w:r>
      <w:r w:rsidR="00431FE7" w:rsidRPr="002D2F84">
        <w:rPr>
          <w:rtl/>
        </w:rPr>
        <w:t>اعمال سلیقه نمی‌کند و حکم آن را از خداوند متعال و پیامبر صلی الله علیه و آله و سلم سؤال می‌کند و براساس آن عمل می‌کند. و مفاد روایت این است که نباید در دین اعمال سلیقه شود</w:t>
      </w:r>
      <w:r w:rsidR="00D03C99">
        <w:rPr>
          <w:rtl/>
        </w:rPr>
        <w:t xml:space="preserve"> و ربطی به احتیاط عملی ندارد.</w:t>
      </w:r>
    </w:p>
    <w:p w14:paraId="3F8089B2" w14:textId="071E527A" w:rsidR="00F8796A" w:rsidRDefault="00F8796A" w:rsidP="002655C5">
      <w:pPr>
        <w:pStyle w:val="NoSpacing"/>
        <w:jc w:val="both"/>
        <w:rPr>
          <w:rtl/>
        </w:rPr>
      </w:pPr>
      <w:r w:rsidRPr="002D2F84">
        <w:rPr>
          <w:rtl/>
        </w:rPr>
        <w:t xml:space="preserve">ثانیا: اگر مراد از بیّن الرشد </w:t>
      </w:r>
      <w:r w:rsidR="00736811">
        <w:rPr>
          <w:rFonts w:hint="cs"/>
          <w:rtl/>
        </w:rPr>
        <w:t>«</w:t>
      </w:r>
      <w:r w:rsidRPr="002D2F84">
        <w:rPr>
          <w:rtl/>
        </w:rPr>
        <w:t>مجمع علی صحته</w:t>
      </w:r>
      <w:r w:rsidR="00736811">
        <w:rPr>
          <w:rFonts w:hint="cs"/>
          <w:rtl/>
        </w:rPr>
        <w:t>»</w:t>
      </w:r>
      <w:r w:rsidRPr="002D2F84">
        <w:rPr>
          <w:rtl/>
        </w:rPr>
        <w:t xml:space="preserve"> و مراد از بیّن الغی </w:t>
      </w:r>
      <w:r w:rsidR="00736811">
        <w:rPr>
          <w:rFonts w:hint="cs"/>
          <w:rtl/>
        </w:rPr>
        <w:t>«</w:t>
      </w:r>
      <w:r w:rsidRPr="002D2F84">
        <w:rPr>
          <w:rtl/>
        </w:rPr>
        <w:t>مجمع علی بطلانه</w:t>
      </w:r>
      <w:r w:rsidR="0079345E" w:rsidRPr="002D2F84">
        <w:rPr>
          <w:rtl/>
        </w:rPr>
        <w:t xml:space="preserve"> و حرمته</w:t>
      </w:r>
      <w:r w:rsidR="00736811">
        <w:rPr>
          <w:rFonts w:hint="cs"/>
          <w:rtl/>
        </w:rPr>
        <w:t>»</w:t>
      </w:r>
      <w:r w:rsidRPr="002D2F84">
        <w:rPr>
          <w:rtl/>
        </w:rPr>
        <w:t xml:space="preserve"> </w:t>
      </w:r>
      <w:r w:rsidR="0079345E" w:rsidRPr="002D2F84">
        <w:rPr>
          <w:rtl/>
        </w:rPr>
        <w:t xml:space="preserve">باشد </w:t>
      </w:r>
      <w:r w:rsidR="00606AF9" w:rsidRPr="002D2F84">
        <w:rPr>
          <w:rtl/>
        </w:rPr>
        <w:t xml:space="preserve">مفاد روایت این خواهد بود که نسبت به </w:t>
      </w:r>
      <w:r w:rsidR="0079345E" w:rsidRPr="002D2F84">
        <w:rPr>
          <w:rtl/>
        </w:rPr>
        <w:t xml:space="preserve">«امر مختلف فیه» </w:t>
      </w:r>
      <w:r w:rsidR="00606AF9" w:rsidRPr="002D2F84">
        <w:rPr>
          <w:rtl/>
        </w:rPr>
        <w:t>باید حکم آن را از نصوص استنباط کرد و ربطی به مقام ندارد</w:t>
      </w:r>
      <w:r w:rsidR="00D54C5A" w:rsidRPr="002D2F84">
        <w:rPr>
          <w:rStyle w:val="FootnoteReference"/>
          <w:rtl/>
        </w:rPr>
        <w:footnoteReference w:id="5"/>
      </w:r>
      <w:r w:rsidR="00606AF9" w:rsidRPr="002D2F84">
        <w:rPr>
          <w:rtl/>
        </w:rPr>
        <w:t xml:space="preserve">. </w:t>
      </w:r>
    </w:p>
    <w:p w14:paraId="314EC6B2" w14:textId="6F366CBB" w:rsidR="00736811" w:rsidRPr="002D2F84" w:rsidRDefault="00736811" w:rsidP="002655C5">
      <w:pPr>
        <w:pStyle w:val="Heading3"/>
        <w:rPr>
          <w:rFonts w:ascii="NoorLotus" w:hAnsi="NoorLotus"/>
          <w:rtl/>
        </w:rPr>
      </w:pPr>
      <w:bookmarkStart w:id="6" w:name="_Toc185400344"/>
      <w:r>
        <w:rPr>
          <w:rFonts w:hint="cs"/>
          <w:rtl/>
        </w:rPr>
        <w:t>رد جواب اول</w:t>
      </w:r>
      <w:bookmarkEnd w:id="6"/>
    </w:p>
    <w:p w14:paraId="7A6D5F7A" w14:textId="7DFE05BD" w:rsidR="00606AF9" w:rsidRPr="002D2F84" w:rsidRDefault="00606AF9" w:rsidP="002655C5">
      <w:pPr>
        <w:pStyle w:val="NoSpacing"/>
        <w:jc w:val="both"/>
        <w:rPr>
          <w:rtl/>
        </w:rPr>
      </w:pPr>
      <w:r w:rsidRPr="002D2F84">
        <w:rPr>
          <w:rtl/>
        </w:rPr>
        <w:t>این کلام تمام نیست زیرا اولا: وجهی برای حمل «بیّن الرشد» و «بیّن الغی» بر آن چیزی که عقل عملی حسن و</w:t>
      </w:r>
      <w:r w:rsidR="00736811">
        <w:rPr>
          <w:rtl/>
        </w:rPr>
        <w:t xml:space="preserve"> قبحش را درک می‌کند، وجود ندارد</w:t>
      </w:r>
      <w:r w:rsidR="00736811">
        <w:rPr>
          <w:rFonts w:hint="cs"/>
          <w:rtl/>
        </w:rPr>
        <w:t xml:space="preserve"> و</w:t>
      </w:r>
      <w:r w:rsidRPr="002D2F84">
        <w:rPr>
          <w:rtl/>
        </w:rPr>
        <w:t xml:space="preserve"> </w:t>
      </w:r>
      <w:r w:rsidR="00CE595B" w:rsidRPr="002D2F84">
        <w:rPr>
          <w:rtl/>
        </w:rPr>
        <w:t>تخصیص «بیّن الغی» و «بیّن الرشد» به مدرک عقل عملی بلاوجه است. و همچنین تخصیص این عنوان به خصوص «آن چیزی که مجمع علی جوازه و صحته و مجمع علی بطلانه» نیز بلاوجه است.</w:t>
      </w:r>
    </w:p>
    <w:p w14:paraId="5B326FD2" w14:textId="713E7FD9" w:rsidR="00CE595B" w:rsidRPr="002D2F84" w:rsidRDefault="00CE595B" w:rsidP="002655C5">
      <w:pPr>
        <w:pStyle w:val="NoSpacing"/>
        <w:jc w:val="both"/>
        <w:rPr>
          <w:rtl/>
        </w:rPr>
      </w:pPr>
      <w:r w:rsidRPr="002D2F84">
        <w:rPr>
          <w:rtl/>
        </w:rPr>
        <w:lastRenderedPageBreak/>
        <w:t xml:space="preserve">ثانیا: اگر مراد از «امر مختلف فیه» امری باشد که مورد </w:t>
      </w:r>
      <w:r w:rsidR="00961690">
        <w:rPr>
          <w:rtl/>
        </w:rPr>
        <w:t>نزاع است ولی</w:t>
      </w:r>
      <w:r w:rsidRPr="002D2F84">
        <w:rPr>
          <w:rtl/>
        </w:rPr>
        <w:t xml:space="preserve"> حکم آن برای خود شخص روشن است نزاع دیگران در این مسأله </w:t>
      </w:r>
      <w:r w:rsidR="00053912" w:rsidRPr="002D2F84">
        <w:rPr>
          <w:rtl/>
        </w:rPr>
        <w:t xml:space="preserve">ارزشی ندارد زیرا برای این شخص حکم روشن است و وجهی برای توقف او در این مسأله وجود ندارد. </w:t>
      </w:r>
    </w:p>
    <w:p w14:paraId="79834424" w14:textId="33DA0DBD" w:rsidR="00053912" w:rsidRPr="002D2F84" w:rsidRDefault="00053912" w:rsidP="002655C5">
      <w:pPr>
        <w:pStyle w:val="Heading3"/>
        <w:rPr>
          <w:rtl/>
        </w:rPr>
      </w:pPr>
      <w:bookmarkStart w:id="7" w:name="_Toc185400345"/>
      <w:r w:rsidRPr="002D2F84">
        <w:rPr>
          <w:rtl/>
        </w:rPr>
        <w:t>جواب دوم</w:t>
      </w:r>
      <w:bookmarkEnd w:id="7"/>
    </w:p>
    <w:p w14:paraId="77E64E23" w14:textId="629DA037" w:rsidR="00053912" w:rsidRPr="002D2F84" w:rsidRDefault="00053912" w:rsidP="002655C5">
      <w:pPr>
        <w:pStyle w:val="NoSpacing"/>
        <w:jc w:val="both"/>
        <w:rPr>
          <w:rtl/>
        </w:rPr>
      </w:pPr>
      <w:r w:rsidRPr="002D2F84">
        <w:rPr>
          <w:rtl/>
        </w:rPr>
        <w:t xml:space="preserve">به نظر ما </w:t>
      </w:r>
      <w:r w:rsidR="00A51DD9" w:rsidRPr="002D2F84">
        <w:rPr>
          <w:rtl/>
        </w:rPr>
        <w:t xml:space="preserve">اولا: </w:t>
      </w:r>
      <w:r w:rsidR="00961690">
        <w:rPr>
          <w:rtl/>
        </w:rPr>
        <w:t>جواب صحیح از ا</w:t>
      </w:r>
      <w:r w:rsidRPr="002D2F84">
        <w:rPr>
          <w:rtl/>
        </w:rPr>
        <w:t>ین روایات همان جواب از طایفه‌ی اول</w:t>
      </w:r>
      <w:r w:rsidR="00961690">
        <w:rPr>
          <w:rFonts w:hint="cs"/>
          <w:rtl/>
        </w:rPr>
        <w:t>ی</w:t>
      </w:r>
      <w:r w:rsidRPr="002D2F84">
        <w:rPr>
          <w:rtl/>
        </w:rPr>
        <w:t xml:space="preserve"> است. </w:t>
      </w:r>
      <w:r w:rsidR="00961690">
        <w:rPr>
          <w:rFonts w:hint="cs"/>
          <w:rtl/>
        </w:rPr>
        <w:t xml:space="preserve">یعنی </w:t>
      </w:r>
      <w:r w:rsidRPr="002D2F84">
        <w:rPr>
          <w:rtl/>
        </w:rPr>
        <w:t xml:space="preserve">دلیل ترخیص شرعی ظاهری مورد را تبدیل به بیّن الرشد می‌کند. </w:t>
      </w:r>
    </w:p>
    <w:p w14:paraId="2181759C" w14:textId="5EA76C6F" w:rsidR="00053912" w:rsidRPr="002D2F84" w:rsidRDefault="00053912" w:rsidP="002655C5">
      <w:pPr>
        <w:pStyle w:val="NoSpacing"/>
        <w:jc w:val="both"/>
        <w:rPr>
          <w:rtl/>
        </w:rPr>
      </w:pPr>
      <w:r w:rsidRPr="002D2F84">
        <w:rPr>
          <w:rtl/>
        </w:rPr>
        <w:t xml:space="preserve">صاحب حدائق رحمه الله فرموده‌اند: اگر دلیل ترخیص ظاهری موجب تبدیل مورد به بیّن الرشد و حلال بیّن شود </w:t>
      </w:r>
      <w:r w:rsidR="00961690">
        <w:rPr>
          <w:rtl/>
        </w:rPr>
        <w:t>و دلیل حرمت ظاهری نیز موجب تبد</w:t>
      </w:r>
      <w:r w:rsidR="004D1E76" w:rsidRPr="002D2F84">
        <w:rPr>
          <w:rtl/>
        </w:rPr>
        <w:t>یل مورد به بیّن الغی و حرام بیّن شوند، دیگر وجهی برای سه قسم کردن وقایع وجود ندارد. و</w:t>
      </w:r>
      <w:r w:rsidR="00961690">
        <w:rPr>
          <w:rtl/>
        </w:rPr>
        <w:t xml:space="preserve"> معنای تقسیم وقایع به سه قسم</w:t>
      </w:r>
      <w:r w:rsidR="004D1E76" w:rsidRPr="002D2F84">
        <w:rPr>
          <w:rtl/>
        </w:rPr>
        <w:t xml:space="preserve"> این است که حکم واقعی لحاظ شده است و الا نسبت به حکم ظاهری دو قسم بیشتر متصور نیست زیرا اگر حکم ظاهری ترخیص است بیّن الرشد است و اگر وجوب احتیاط است ارتکاب آن بیّن الغی است</w:t>
      </w:r>
      <w:r w:rsidR="0095371B" w:rsidRPr="002D2F84">
        <w:rPr>
          <w:rStyle w:val="FootnoteReference"/>
          <w:rtl/>
        </w:rPr>
        <w:footnoteReference w:id="6"/>
      </w:r>
      <w:r w:rsidR="004D1E76" w:rsidRPr="002D2F84">
        <w:rPr>
          <w:rtl/>
        </w:rPr>
        <w:t>.</w:t>
      </w:r>
    </w:p>
    <w:p w14:paraId="35EB4BB5" w14:textId="33A22E14" w:rsidR="004D1E76" w:rsidRPr="002D2F84" w:rsidRDefault="004D1E76" w:rsidP="002655C5">
      <w:pPr>
        <w:pStyle w:val="NoSpacing"/>
        <w:jc w:val="both"/>
        <w:rPr>
          <w:rtl/>
        </w:rPr>
      </w:pPr>
      <w:r w:rsidRPr="002D2F84">
        <w:rPr>
          <w:rtl/>
        </w:rPr>
        <w:t xml:space="preserve">این کلام تمام نیست زیرا گرچه ترخیص شرعی ظاهری موجب بیّن الرشد شدن مورد می‌شود ولی لزوم احتیاط عقلی موجب بیّن الغی شدن مورد نمی‌شود. </w:t>
      </w:r>
      <w:r w:rsidR="00B1177D" w:rsidRPr="002D2F84">
        <w:rPr>
          <w:rtl/>
        </w:rPr>
        <w:t xml:space="preserve">حکم عقل به احتیاط در موارد </w:t>
      </w:r>
      <w:r w:rsidRPr="002D2F84">
        <w:rPr>
          <w:rtl/>
        </w:rPr>
        <w:t xml:space="preserve">علم اجمالی به حرمت </w:t>
      </w:r>
      <w:r w:rsidR="00B1177D" w:rsidRPr="002D2F84">
        <w:rPr>
          <w:rtl/>
        </w:rPr>
        <w:t>یکی از این دو فعل بدون وجود ترخیص</w:t>
      </w:r>
      <w:r w:rsidR="00BC4C29" w:rsidRPr="002D2F84">
        <w:rPr>
          <w:rtl/>
        </w:rPr>
        <w:t xml:space="preserve"> شرعی</w:t>
      </w:r>
      <w:r w:rsidR="00B1177D" w:rsidRPr="002D2F84">
        <w:rPr>
          <w:rtl/>
        </w:rPr>
        <w:t xml:space="preserve"> ظاهری در ارتکاب</w:t>
      </w:r>
      <w:r w:rsidR="00871CF6" w:rsidRPr="002D2F84">
        <w:rPr>
          <w:rtl/>
        </w:rPr>
        <w:t>، موجب حرام بیّن شدن هیچ</w:t>
      </w:r>
      <w:r w:rsidR="00D9461D">
        <w:rPr>
          <w:rtl/>
        </w:rPr>
        <w:t>‌کدام از این دو مورد نمی‌شود</w:t>
      </w:r>
      <w:r w:rsidR="00871CF6" w:rsidRPr="002D2F84">
        <w:rPr>
          <w:rtl/>
        </w:rPr>
        <w:t xml:space="preserve"> بلکه مشتبه می‌شو</w:t>
      </w:r>
      <w:r w:rsidR="00BC4C29" w:rsidRPr="002D2F84">
        <w:rPr>
          <w:rtl/>
        </w:rPr>
        <w:t>ند</w:t>
      </w:r>
      <w:r w:rsidR="00D9461D">
        <w:rPr>
          <w:rFonts w:hint="cs"/>
          <w:rtl/>
        </w:rPr>
        <w:t>.</w:t>
      </w:r>
      <w:r w:rsidR="00871CF6" w:rsidRPr="002D2F84">
        <w:rPr>
          <w:rtl/>
        </w:rPr>
        <w:t xml:space="preserve"> بنابراین سه قسم وجود دارد. </w:t>
      </w:r>
      <w:r w:rsidR="00021AE0" w:rsidRPr="002D2F84">
        <w:rPr>
          <w:rtl/>
        </w:rPr>
        <w:t>شبهه‌ی حکمیه بعد از فحص</w:t>
      </w:r>
      <w:r w:rsidR="000A6EBA" w:rsidRPr="002D2F84">
        <w:rPr>
          <w:rtl/>
        </w:rPr>
        <w:t xml:space="preserve"> و شبهه‌ی موضوعیه به نحو مطلق</w:t>
      </w:r>
      <w:r w:rsidR="00021AE0" w:rsidRPr="002D2F84">
        <w:rPr>
          <w:rtl/>
        </w:rPr>
        <w:t xml:space="preserve"> که ترخیص شرعی ظاهری دارد حلال بیّن</w:t>
      </w:r>
      <w:r w:rsidR="000A6EBA" w:rsidRPr="002D2F84">
        <w:rPr>
          <w:rtl/>
        </w:rPr>
        <w:t xml:space="preserve"> و بیّن الرشد</w:t>
      </w:r>
      <w:r w:rsidR="00021AE0" w:rsidRPr="002D2F84">
        <w:rPr>
          <w:rtl/>
        </w:rPr>
        <w:t xml:space="preserve"> است ولی شبهه‌ی حکمیه قبل از فحص و یا مقرون به علم اجمالی</w:t>
      </w:r>
      <w:r w:rsidR="009871E0" w:rsidRPr="002D2F84">
        <w:rPr>
          <w:rtl/>
        </w:rPr>
        <w:t xml:space="preserve"> حلال بیّن نیست و</w:t>
      </w:r>
      <w:r w:rsidR="00021AE0" w:rsidRPr="002D2F84">
        <w:rPr>
          <w:rtl/>
        </w:rPr>
        <w:t xml:space="preserve"> حرام بیّن و بیّن الغی </w:t>
      </w:r>
      <w:r w:rsidR="009871E0" w:rsidRPr="002D2F84">
        <w:rPr>
          <w:rtl/>
        </w:rPr>
        <w:t xml:space="preserve">نیز </w:t>
      </w:r>
      <w:r w:rsidR="00021AE0" w:rsidRPr="002D2F84">
        <w:rPr>
          <w:rtl/>
        </w:rPr>
        <w:t xml:space="preserve">نیست. </w:t>
      </w:r>
      <w:r w:rsidR="000A6EBA" w:rsidRPr="002D2F84">
        <w:rPr>
          <w:rtl/>
        </w:rPr>
        <w:t>زیرا گرچه عقل حکم به احتیاط می‌کند ولی حکم شرعی</w:t>
      </w:r>
      <w:r w:rsidR="009871E0" w:rsidRPr="002D2F84">
        <w:rPr>
          <w:rtl/>
        </w:rPr>
        <w:t xml:space="preserve"> ظاهری و واقعی</w:t>
      </w:r>
      <w:r w:rsidR="000A6EBA" w:rsidRPr="002D2F84">
        <w:rPr>
          <w:rtl/>
        </w:rPr>
        <w:t xml:space="preserve"> آن روشن نیست. </w:t>
      </w:r>
    </w:p>
    <w:p w14:paraId="0AE37ED1" w14:textId="7E75DDD9" w:rsidR="0095371B" w:rsidRPr="002D2F84" w:rsidRDefault="00A51DD9" w:rsidP="002655C5">
      <w:pPr>
        <w:pStyle w:val="NoSpacing"/>
        <w:jc w:val="both"/>
        <w:rPr>
          <w:rtl/>
        </w:rPr>
      </w:pPr>
      <w:r w:rsidRPr="002D2F84">
        <w:rPr>
          <w:rtl/>
        </w:rPr>
        <w:t>ثانی</w:t>
      </w:r>
      <w:r w:rsidR="009871E0" w:rsidRPr="002D2F84">
        <w:rPr>
          <w:rtl/>
        </w:rPr>
        <w:t xml:space="preserve">ا: </w:t>
      </w:r>
      <w:r w:rsidR="00EE1D61" w:rsidRPr="002D2F84">
        <w:rPr>
          <w:rtl/>
        </w:rPr>
        <w:t>مراد از «</w:t>
      </w:r>
      <w:r w:rsidR="004857EE" w:rsidRPr="002D2F84">
        <w:rPr>
          <w:color w:val="0070C0"/>
          <w:rtl/>
        </w:rPr>
        <w:t>وَ أَمْرٌ اخْتُلِفَ فِيهِ فَرُدَّهُ إِلَى اللَّهِ عَزَّ وَ جَلَّ</w:t>
      </w:r>
      <w:r w:rsidR="00EE1D61" w:rsidRPr="002D2F84">
        <w:rPr>
          <w:rtl/>
        </w:rPr>
        <w:t xml:space="preserve">» توقف علمی و عدم اظهار نظر است و الا اگر لزوم احتیاط و اجتناب عملی داشت حکم آن با حکم بیّن الغی که وجوب اجتناب است یکی بود. </w:t>
      </w:r>
      <w:r w:rsidR="00AE159E" w:rsidRPr="002D2F84">
        <w:rPr>
          <w:rtl/>
        </w:rPr>
        <w:t xml:space="preserve">در حالی که ظاهر روایت این است که حکم آن دو با هم فرق دارد. </w:t>
      </w:r>
      <w:r w:rsidR="00EE1D61" w:rsidRPr="002D2F84">
        <w:rPr>
          <w:rtl/>
        </w:rPr>
        <w:t xml:space="preserve">نسبت به «بیّن الغی» اظهار نظر نیز می‌شود و گفته می‌شود </w:t>
      </w:r>
      <w:r w:rsidR="00EE1D61" w:rsidRPr="002D2F84">
        <w:rPr>
          <w:rtl/>
        </w:rPr>
        <w:lastRenderedPageBreak/>
        <w:t>«باید از آن اجتناب کرد» ولی نسبت به امر مشتبه و مختلف فیه</w:t>
      </w:r>
      <w:r w:rsidR="00AE159E" w:rsidRPr="002D2F84">
        <w:rPr>
          <w:rtl/>
        </w:rPr>
        <w:t xml:space="preserve"> نباید</w:t>
      </w:r>
      <w:r w:rsidR="00EE1D61" w:rsidRPr="002D2F84">
        <w:rPr>
          <w:rtl/>
        </w:rPr>
        <w:t xml:space="preserve"> اظهار نظر</w:t>
      </w:r>
      <w:r w:rsidR="00AE159E" w:rsidRPr="002D2F84">
        <w:rPr>
          <w:rtl/>
        </w:rPr>
        <w:t xml:space="preserve"> کرد و فتوای به غیر علم</w:t>
      </w:r>
      <w:r w:rsidR="00EE1D61" w:rsidRPr="002D2F84">
        <w:rPr>
          <w:rtl/>
        </w:rPr>
        <w:t xml:space="preserve"> </w:t>
      </w:r>
      <w:r w:rsidR="00AE159E" w:rsidRPr="002D2F84">
        <w:rPr>
          <w:rtl/>
        </w:rPr>
        <w:t>داد. ولی وجوب احت</w:t>
      </w:r>
      <w:r w:rsidR="00852A3B">
        <w:rPr>
          <w:rtl/>
        </w:rPr>
        <w:t>یاط عملی از آن استفاده نمی‌شود.</w:t>
      </w:r>
    </w:p>
    <w:p w14:paraId="30B0DEA0" w14:textId="4F77FF38" w:rsidR="00AE159E" w:rsidRPr="002D2F84" w:rsidRDefault="0095371B" w:rsidP="002655C5">
      <w:pPr>
        <w:pStyle w:val="Heading2"/>
        <w:jc w:val="both"/>
        <w:rPr>
          <w:sz w:val="22"/>
          <w:rtl/>
        </w:rPr>
      </w:pPr>
      <w:bookmarkStart w:id="8" w:name="_Toc185400346"/>
      <w:r w:rsidRPr="002D2F84">
        <w:rPr>
          <w:rtl/>
        </w:rPr>
        <w:t>روایت</w:t>
      </w:r>
      <w:r w:rsidR="00AE159E" w:rsidRPr="002D2F84">
        <w:rPr>
          <w:rtl/>
        </w:rPr>
        <w:t xml:space="preserve"> سوم: روایت نعمان بن بشیر</w:t>
      </w:r>
      <w:bookmarkEnd w:id="8"/>
    </w:p>
    <w:p w14:paraId="583A45E3" w14:textId="72705292" w:rsidR="00AE159E" w:rsidRPr="002D2F84" w:rsidRDefault="00AE159E" w:rsidP="002655C5">
      <w:pPr>
        <w:pStyle w:val="NoSpacing"/>
        <w:jc w:val="both"/>
        <w:rPr>
          <w:color w:val="0070C0"/>
          <w:rtl/>
        </w:rPr>
      </w:pPr>
      <w:r w:rsidRPr="002D2F84">
        <w:rPr>
          <w:color w:val="0070C0"/>
          <w:rtl/>
        </w:rPr>
        <w:t>«</w:t>
      </w:r>
      <w:r w:rsidR="00C35496" w:rsidRPr="002D2F84">
        <w:rPr>
          <w:color w:val="0070C0"/>
          <w:rtl/>
        </w:rPr>
        <w:t xml:space="preserve"> عَوَالِي اللآَّلِي، عَنِ النُّعْمَانِ بْنِ بَشِيرٍ قَالَ سَمِعْتُ رَسُولَ اللَّهِ ص يَقُولُ: حَلَالٌ بَيِّنٌ وَ حَرَامٌ بَيِّنٌ وَ بَيْنَهُمَا شُبُهَاتٌ لَا يَعْلَمُهَا كَثِيرٌ مِنَ النَّاسِ فَمَنِ اتَّقَى الشُّبُهَاتِ فَقَدِ اسْتَبْرَأَ لِدِينِهِ </w:t>
      </w:r>
      <w:r w:rsidR="00C35496" w:rsidRPr="002D2F84">
        <w:rPr>
          <w:rtl/>
        </w:rPr>
        <w:t>-یعنی سالم بودن دینش را احراز کرده است-</w:t>
      </w:r>
      <w:r w:rsidR="00C35496" w:rsidRPr="002D2F84">
        <w:rPr>
          <w:color w:val="0070C0"/>
          <w:rtl/>
        </w:rPr>
        <w:t xml:space="preserve"> وَ عِرْضِهِ وَ مَنْ وَقَعَ فِي الشُّبُهَاتِ وَقَعَ فِي الْحَرَامِ كَالرَّاعِي‏ حَوْلَ‏ الْحِمَى‏ يُوشِكُ أَنْ يَقَعَ فِيهِ أَلَا إِنَّ لِكُلِّ مَلِكٍ حِمًى وَ إِنَّ حِمَى اللَّهِ تَعَالَى مَحَارِمُهُ»</w:t>
      </w:r>
      <w:r w:rsidR="004146B1" w:rsidRPr="002D2F84">
        <w:rPr>
          <w:rStyle w:val="FootnoteReference"/>
          <w:rtl/>
        </w:rPr>
        <w:footnoteReference w:id="7"/>
      </w:r>
    </w:p>
    <w:p w14:paraId="1ADFD9C9" w14:textId="0334D80F" w:rsidR="00AE159E" w:rsidRPr="002D2F84" w:rsidRDefault="00AE159E" w:rsidP="002655C5">
      <w:pPr>
        <w:pStyle w:val="NoSpacing"/>
        <w:jc w:val="both"/>
        <w:rPr>
          <w:rtl/>
        </w:rPr>
      </w:pPr>
      <w:r w:rsidRPr="002D2F84">
        <w:rPr>
          <w:rtl/>
        </w:rPr>
        <w:t>نعمان بن بشیر همان والی کوفه و پدر زن مختار است.</w:t>
      </w:r>
    </w:p>
    <w:p w14:paraId="11ECBC7A" w14:textId="5B30C372" w:rsidR="004146B1" w:rsidRPr="002D2F84" w:rsidRDefault="004146B1" w:rsidP="002655C5">
      <w:pPr>
        <w:pStyle w:val="NoSpacing"/>
        <w:jc w:val="both"/>
        <w:rPr>
          <w:rtl/>
        </w:rPr>
      </w:pPr>
      <w:r w:rsidRPr="002D2F84">
        <w:rPr>
          <w:rtl/>
        </w:rPr>
        <w:t xml:space="preserve">تقریب استدلال: وقایع سه قسم هستند: حلال بیّن، حرام بیّن و شبهات و از شبهات باید اجتناب شود. </w:t>
      </w:r>
    </w:p>
    <w:p w14:paraId="7E17CD1E" w14:textId="3D0647DB" w:rsidR="004146B1" w:rsidRPr="002D2F84" w:rsidRDefault="004146B1" w:rsidP="002655C5">
      <w:pPr>
        <w:pStyle w:val="Heading3"/>
        <w:jc w:val="both"/>
        <w:rPr>
          <w:rFonts w:ascii="NoorLotus" w:hAnsi="NoorLotus"/>
          <w:rtl/>
        </w:rPr>
      </w:pPr>
      <w:bookmarkStart w:id="9" w:name="_Toc185400347"/>
      <w:r w:rsidRPr="002D2F84">
        <w:rPr>
          <w:rFonts w:ascii="NoorLotus" w:hAnsi="NoorLotus"/>
          <w:rtl/>
        </w:rPr>
        <w:t>بررسی روایت سوم</w:t>
      </w:r>
      <w:bookmarkEnd w:id="9"/>
    </w:p>
    <w:p w14:paraId="045379F4" w14:textId="3DBA16E7" w:rsidR="00C52E0F" w:rsidRPr="002D2F84" w:rsidRDefault="004146B1" w:rsidP="002655C5">
      <w:pPr>
        <w:pStyle w:val="NoSpacing"/>
        <w:jc w:val="both"/>
        <w:rPr>
          <w:rtl/>
        </w:rPr>
      </w:pPr>
      <w:r w:rsidRPr="002D2F84">
        <w:rPr>
          <w:rtl/>
        </w:rPr>
        <w:t>این حدیث سندا ضعیف است. در امالی شیخ طوسی نیز این روایت ذکر شده است ولی در آن تثلیت ندارد</w:t>
      </w:r>
      <w:r w:rsidR="00C35496" w:rsidRPr="002D2F84">
        <w:rPr>
          <w:rtl/>
        </w:rPr>
        <w:t xml:space="preserve"> </w:t>
      </w:r>
      <w:r w:rsidR="00C35496" w:rsidRPr="002D2F84">
        <w:rPr>
          <w:color w:val="0070C0"/>
          <w:rtl/>
        </w:rPr>
        <w:t>«إِنَّ لِكُلِّ مَلِكٍ حِمًى وَ إِنَّ حِمَى اللَّهِ حَلَالُهُ وَ حَرَامُهُ وَ الْمُشْتَبِهَاتُ بَيْنَ ذَلِكَ...فَدَعُوا الْمُشْتَبِهَاتِ.»</w:t>
      </w:r>
      <w:r w:rsidRPr="002D2F84">
        <w:rPr>
          <w:rStyle w:val="FootnoteReference"/>
          <w:rtl/>
        </w:rPr>
        <w:footnoteReference w:id="8"/>
      </w:r>
      <w:r w:rsidRPr="002D2F84">
        <w:rPr>
          <w:rtl/>
        </w:rPr>
        <w:t>.</w:t>
      </w:r>
      <w:r w:rsidR="00FE6C24" w:rsidRPr="002D2F84">
        <w:rPr>
          <w:rtl/>
        </w:rPr>
        <w:t xml:space="preserve"> البته سند امالی نیز ضعیف است. </w:t>
      </w:r>
    </w:p>
    <w:p w14:paraId="14C5F32F" w14:textId="2D0CEDB9" w:rsidR="00977F2A" w:rsidRPr="002D2F84" w:rsidRDefault="00FE6C24" w:rsidP="002655C5">
      <w:pPr>
        <w:pStyle w:val="NoSpacing"/>
        <w:jc w:val="both"/>
        <w:rPr>
          <w:rtl/>
        </w:rPr>
      </w:pPr>
      <w:r w:rsidRPr="002D2F84">
        <w:rPr>
          <w:rtl/>
        </w:rPr>
        <w:t xml:space="preserve">علاوه بر این که دلیل ترخیص شرعی ظاهری </w:t>
      </w:r>
      <w:r w:rsidR="00977F2A" w:rsidRPr="002D2F84">
        <w:rPr>
          <w:rtl/>
        </w:rPr>
        <w:t xml:space="preserve">در شبهات حکمیه تحریمیه و همچنین شبهات موضوعیه تحریمیه بعد از فحص موجب حلال بیّن شدن آن می‌شود. ولی شبهات قبل از فحص و شبهات مقرون به علم اجمالی شبهه هستند و حلال بیّن و حرام بیّن نیستند و فقط عقل حکم به احتیاط می‌کند. </w:t>
      </w:r>
    </w:p>
    <w:p w14:paraId="38A3BDBA" w14:textId="45F53D90" w:rsidR="00977F2A" w:rsidRPr="002D2F84" w:rsidRDefault="00977F2A" w:rsidP="002655C5">
      <w:pPr>
        <w:pStyle w:val="NoSpacing"/>
        <w:jc w:val="both"/>
        <w:rPr>
          <w:rtl/>
        </w:rPr>
      </w:pPr>
      <w:r w:rsidRPr="002D2F84">
        <w:rPr>
          <w:rtl/>
        </w:rPr>
        <w:t xml:space="preserve">بیان امام رحمه الله و آیت الله سیستانی حفظه الله </w:t>
      </w:r>
      <w:r w:rsidR="00E55830">
        <w:rPr>
          <w:rtl/>
        </w:rPr>
        <w:t>نسبت به این روایت نیز می‌آید</w:t>
      </w:r>
      <w:r w:rsidR="00E55830">
        <w:rPr>
          <w:rFonts w:hint="cs"/>
          <w:rtl/>
        </w:rPr>
        <w:t>:</w:t>
      </w:r>
      <w:r w:rsidRPr="002D2F84">
        <w:rPr>
          <w:rtl/>
        </w:rPr>
        <w:t xml:space="preserve"> این روایت دلالت بر اجتناب از شبهات ندارد بلکه فقط فایده‌ی اجتناب از شبهات را بیان کرده است که اجتناب از شبهات سبب اجتناب از </w:t>
      </w:r>
      <w:r w:rsidRPr="002D2F84">
        <w:rPr>
          <w:rtl/>
        </w:rPr>
        <w:lastRenderedPageBreak/>
        <w:t>محرمات بیّن می‌شود و ارتکاب شبهات سبب می‌شود که مکلف جرأت بر ارتکاب حرام پیدا کند لذا در معرض وقوع در محرمات قرار می‌گیرد</w:t>
      </w:r>
      <w:r w:rsidR="00C35496" w:rsidRPr="002D2F84">
        <w:rPr>
          <w:rStyle w:val="FootnoteReference"/>
          <w:rtl/>
        </w:rPr>
        <w:footnoteReference w:id="9"/>
      </w:r>
      <w:r w:rsidRPr="002D2F84">
        <w:rPr>
          <w:rtl/>
        </w:rPr>
        <w:t>.</w:t>
      </w:r>
    </w:p>
    <w:p w14:paraId="0F358EFA" w14:textId="76684927" w:rsidR="00977F2A" w:rsidRPr="002D2F84" w:rsidRDefault="00C35496" w:rsidP="002655C5">
      <w:pPr>
        <w:pStyle w:val="NoSpacing"/>
        <w:jc w:val="both"/>
        <w:rPr>
          <w:rtl/>
        </w:rPr>
      </w:pPr>
      <w:r w:rsidRPr="002D2F84">
        <w:rPr>
          <w:rtl/>
        </w:rPr>
        <w:t xml:space="preserve">ولی به نظر ما </w:t>
      </w:r>
      <w:r w:rsidR="00977F2A" w:rsidRPr="002D2F84">
        <w:rPr>
          <w:rtl/>
        </w:rPr>
        <w:t>گرچه اجتناب از شبهات سبب تقویت انسان در اجتناب از محرمات می‌شود. ولی چنین نیست که ارتکاب شبهات با مجوز عقلی یا شرعی سبب جری</w:t>
      </w:r>
      <w:r w:rsidR="00E55830">
        <w:rPr>
          <w:rFonts w:hint="cs"/>
          <w:rtl/>
        </w:rPr>
        <w:t>ّ</w:t>
      </w:r>
      <w:r w:rsidR="00E55830">
        <w:rPr>
          <w:rtl/>
        </w:rPr>
        <w:t xml:space="preserve"> شدن انسان بر ارتکاب محرمات</w:t>
      </w:r>
      <w:r w:rsidR="00E55830">
        <w:rPr>
          <w:rFonts w:hint="cs"/>
          <w:rtl/>
        </w:rPr>
        <w:t xml:space="preserve"> </w:t>
      </w:r>
      <w:r w:rsidR="00977F2A" w:rsidRPr="002D2F84">
        <w:rPr>
          <w:rtl/>
        </w:rPr>
        <w:t xml:space="preserve">‌شود. شخص متدین است و به سبب اصل برائت مرتکب شبهات حکمیه بعد از فحص می‌شود ولی در صورت عدم جریان اصل برائت در شبهات حکمیه از شبهه اجتناب می‌کند. </w:t>
      </w:r>
    </w:p>
    <w:p w14:paraId="5DA03DCF" w14:textId="545289C5" w:rsidR="00EE727D" w:rsidRPr="002D2F84" w:rsidRDefault="008712D4" w:rsidP="002655C5">
      <w:pPr>
        <w:pStyle w:val="Heading2"/>
        <w:jc w:val="both"/>
        <w:rPr>
          <w:rtl/>
        </w:rPr>
      </w:pPr>
      <w:bookmarkStart w:id="10" w:name="_Toc185400348"/>
      <w:r w:rsidRPr="002D2F84">
        <w:rPr>
          <w:rtl/>
        </w:rPr>
        <w:t>طایفه‌ی سوم: روایات متفرقه</w:t>
      </w:r>
      <w:bookmarkEnd w:id="10"/>
    </w:p>
    <w:p w14:paraId="1ECF987B" w14:textId="1713DCE1" w:rsidR="008712D4" w:rsidRPr="002D2F84" w:rsidRDefault="008712D4" w:rsidP="002655C5">
      <w:pPr>
        <w:pStyle w:val="NoSpacing"/>
        <w:jc w:val="both"/>
        <w:rPr>
          <w:rtl/>
        </w:rPr>
      </w:pPr>
      <w:r w:rsidRPr="002D2F84">
        <w:rPr>
          <w:rtl/>
        </w:rPr>
        <w:t>عمده‌</w:t>
      </w:r>
      <w:r w:rsidR="005E394A" w:rsidRPr="002D2F84">
        <w:rPr>
          <w:rtl/>
        </w:rPr>
        <w:t xml:space="preserve"> در</w:t>
      </w:r>
      <w:r w:rsidRPr="002D2F84">
        <w:rPr>
          <w:rtl/>
        </w:rPr>
        <w:t xml:space="preserve"> این طایفه نیز سه روایت است: </w:t>
      </w:r>
    </w:p>
    <w:p w14:paraId="3A542CD7" w14:textId="77777777" w:rsidR="00C35496" w:rsidRPr="002D2F84" w:rsidRDefault="008712D4" w:rsidP="002655C5">
      <w:pPr>
        <w:pStyle w:val="Heading2"/>
        <w:jc w:val="both"/>
        <w:rPr>
          <w:rtl/>
        </w:rPr>
      </w:pPr>
      <w:bookmarkStart w:id="11" w:name="_Toc185400349"/>
      <w:r w:rsidRPr="002D2F84">
        <w:rPr>
          <w:rtl/>
        </w:rPr>
        <w:t>روایت اول:</w:t>
      </w:r>
      <w:r w:rsidR="005E394A" w:rsidRPr="002D2F84">
        <w:rPr>
          <w:rtl/>
        </w:rPr>
        <w:t xml:space="preserve"> روایت سلیمان بن داود منقری</w:t>
      </w:r>
      <w:bookmarkEnd w:id="11"/>
    </w:p>
    <w:p w14:paraId="25F7872B" w14:textId="4DB7A36B" w:rsidR="00BA68E8" w:rsidRPr="002D2F84" w:rsidRDefault="00BA68E8" w:rsidP="002655C5">
      <w:pPr>
        <w:spacing w:after="0"/>
        <w:ind w:firstLine="227"/>
        <w:jc w:val="both"/>
        <w:rPr>
          <w:rFonts w:ascii="NoorLotus" w:hAnsi="NoorLotus" w:cs="NoorLotus"/>
          <w:rtl/>
        </w:rPr>
      </w:pPr>
      <w:r w:rsidRPr="002D2F84">
        <w:rPr>
          <w:rFonts w:ascii="NoorLotus" w:hAnsi="NoorLotus" w:cs="NoorLotus"/>
          <w:rtl/>
        </w:rPr>
        <w:t xml:space="preserve"> </w:t>
      </w:r>
      <w:r w:rsidRPr="002D2F84">
        <w:rPr>
          <w:rFonts w:ascii="NoorLotus" w:eastAsia="Times New Roman" w:hAnsi="NoorLotus" w:cs="NoorLotus"/>
          <w:color w:val="0070C0"/>
          <w:sz w:val="28"/>
          <w:rtl/>
        </w:rPr>
        <w:t xml:space="preserve">«وَ بِإِسْنَادِهِ </w:t>
      </w:r>
      <w:r w:rsidRPr="002D2F84">
        <w:rPr>
          <w:rFonts w:ascii="Sakkal Majalla" w:eastAsia="Times New Roman" w:hAnsi="Sakkal Majalla" w:cs="Sakkal Majalla" w:hint="cs"/>
          <w:color w:val="0070C0"/>
          <w:sz w:val="28"/>
          <w:rtl/>
        </w:rPr>
        <w:t>–</w:t>
      </w:r>
      <w:r w:rsidRPr="002D2F84">
        <w:rPr>
          <w:rFonts w:ascii="NoorLotus" w:eastAsia="Times New Roman" w:hAnsi="NoorLotus" w:cs="NoorLotus"/>
          <w:color w:val="0070C0"/>
          <w:sz w:val="28"/>
          <w:rtl/>
        </w:rPr>
        <w:t xml:space="preserve">محمد بن یعقوب- عَنِ الْحَسَنِ بْنِ مُحَمَّدِ بْنِ سَمَاعَةَ عَنْ سُلَيْمَانَ بْنِ دَاوُدَ عَنْ عَبْدِ اللَّهِ بْنِ وَضَّاحٍ قَالَ: كَتَبْتُ إِلَى الْعَبْدِ الصَّالِحِ ع يَتَوَارَى الْقُرْصُ وَ يُقْبِلُ اللَّيْلُ ثُمَّ يَزِيدُ اللَّيْلُ ارْتِفَاعاً وَ تَسْتَتِرُ عَنَّا الشَّمْسُ وَ تَرْتَفِعُ فَوْقَ اللَّيْلِ‏ حُمْرَةٌ وَ يُؤَذِّنُ عِنْدَنَا الْمُؤَذِّنُونَ </w:t>
      </w:r>
      <w:r w:rsidRPr="002D2F84">
        <w:rPr>
          <w:rFonts w:ascii="Sakkal Majalla" w:eastAsia="Times New Roman" w:hAnsi="Sakkal Majalla" w:cs="Sakkal Majalla" w:hint="cs"/>
          <w:color w:val="0070C0"/>
          <w:sz w:val="28"/>
          <w:rtl/>
        </w:rPr>
        <w:t>–</w:t>
      </w:r>
      <w:r w:rsidRPr="002D2F84">
        <w:rPr>
          <w:rFonts w:ascii="NoorLotus" w:eastAsia="Times New Roman" w:hAnsi="NoorLotus" w:cs="NoorLotus"/>
          <w:color w:val="0070C0"/>
          <w:sz w:val="28"/>
          <w:rtl/>
        </w:rPr>
        <w:t>یعنی مؤذن اهل سنت- فَأُصَلِّي حِينَئِذٍ وَ أُفْطِرُ إِنْ كُنْتُ صَائِماً أَوِ أَنْتَظِرُ حَتَّى تَذْهَبَ الْحُمْرَةُ الَّتِي فَوْقَ اللَّيْلِ‏ فَكَتَبَ إِلَيَّ أَرَى لَكَ أَنْ تَنْتَظِرَ حَتَّى تَذْهَبَ الْحُمْرَةُ وَ تَأْخُذَ بِالْحَائِطَةِ لِدِينِكَ.»</w:t>
      </w:r>
      <w:r w:rsidRPr="002D2F84">
        <w:rPr>
          <w:rStyle w:val="FootnoteReference"/>
          <w:rFonts w:ascii="NoorLotus" w:hAnsi="NoorLotus" w:cs="NoorLotus"/>
          <w:rtl/>
        </w:rPr>
        <w:t xml:space="preserve"> </w:t>
      </w:r>
      <w:r w:rsidRPr="002D2F84">
        <w:rPr>
          <w:rStyle w:val="FootnoteReference"/>
          <w:rFonts w:ascii="NoorLotus" w:hAnsi="NoorLotus" w:cs="NoorLotus"/>
          <w:rtl/>
        </w:rPr>
        <w:footnoteReference w:id="10"/>
      </w:r>
    </w:p>
    <w:p w14:paraId="601B54CE" w14:textId="760091F0" w:rsidR="005E394A" w:rsidRPr="002D2F84" w:rsidRDefault="00BA68E8" w:rsidP="002655C5">
      <w:pPr>
        <w:pStyle w:val="NoSpacing"/>
        <w:jc w:val="both"/>
        <w:rPr>
          <w:color w:val="0070C0"/>
          <w:rtl/>
        </w:rPr>
      </w:pPr>
      <w:r w:rsidRPr="002D2F84">
        <w:rPr>
          <w:rtl/>
        </w:rPr>
        <w:t xml:space="preserve">راجع به وقت نماز مغرب و افطار که غروب خورشید است یا زوال حمره‌ی مشرقیه از امام علیه السلام سؤال شده است. امام علیه السلام نیز در جواب فرمودند: </w:t>
      </w:r>
      <w:r w:rsidRPr="002D2F84">
        <w:rPr>
          <w:color w:val="0070C0"/>
          <w:rtl/>
        </w:rPr>
        <w:t>«</w:t>
      </w:r>
      <w:r w:rsidRPr="002D2F84">
        <w:rPr>
          <w:rFonts w:eastAsia="Times New Roman"/>
          <w:color w:val="0070C0"/>
          <w:rtl/>
        </w:rPr>
        <w:t>أَرَى لَكَ أَنْ تَنْتَظِرَ حَتَّى تَذْهَبَ الْحُمْرَةُ وَ تَأْخُذَ بِالْحَائِطَةِ لِدِينِكَ»</w:t>
      </w:r>
    </w:p>
    <w:p w14:paraId="0EEB9FBF" w14:textId="6AC7AE09" w:rsidR="00BA68E8" w:rsidRPr="002D2F84" w:rsidRDefault="00BA68E8" w:rsidP="002655C5">
      <w:pPr>
        <w:pStyle w:val="Heading3"/>
        <w:rPr>
          <w:rtl/>
        </w:rPr>
      </w:pPr>
      <w:bookmarkStart w:id="12" w:name="_Toc185400350"/>
      <w:r w:rsidRPr="002D2F84">
        <w:rPr>
          <w:rtl/>
        </w:rPr>
        <w:lastRenderedPageBreak/>
        <w:t>بررسی اعتبار نقل‌های علامه از ابن غضائری</w:t>
      </w:r>
      <w:bookmarkEnd w:id="12"/>
    </w:p>
    <w:p w14:paraId="362E970B" w14:textId="62ECD93F" w:rsidR="00BA68E8" w:rsidRPr="002D2F84" w:rsidRDefault="00D96BE3" w:rsidP="002655C5">
      <w:pPr>
        <w:pStyle w:val="NoSpacing"/>
        <w:jc w:val="both"/>
        <w:rPr>
          <w:sz w:val="24"/>
          <w:szCs w:val="24"/>
          <w:rtl/>
        </w:rPr>
      </w:pPr>
      <w:r>
        <w:rPr>
          <w:rtl/>
        </w:rPr>
        <w:t>نجاشی سلیمان بین داود منقری</w:t>
      </w:r>
      <w:r w:rsidR="008712D4" w:rsidRPr="002D2F84">
        <w:rPr>
          <w:rtl/>
        </w:rPr>
        <w:t xml:space="preserve"> </w:t>
      </w:r>
      <w:r w:rsidR="00BA68E8" w:rsidRPr="002D2F84">
        <w:rPr>
          <w:rtl/>
        </w:rPr>
        <w:t>را توثیق کرده است</w:t>
      </w:r>
      <w:r w:rsidR="00BA68E8" w:rsidRPr="002D2F84">
        <w:rPr>
          <w:rStyle w:val="FootnoteReference"/>
          <w:rtl/>
        </w:rPr>
        <w:footnoteReference w:id="11"/>
      </w:r>
      <w:r w:rsidR="00BA68E8" w:rsidRPr="002D2F84">
        <w:rPr>
          <w:rtl/>
        </w:rPr>
        <w:t>. ولی علامه در</w:t>
      </w:r>
      <w:r w:rsidR="005E394A" w:rsidRPr="002D2F84">
        <w:rPr>
          <w:rtl/>
        </w:rPr>
        <w:t xml:space="preserve"> رجال</w:t>
      </w:r>
      <w:r w:rsidR="00BA68E8" w:rsidRPr="002D2F84">
        <w:rPr>
          <w:rtl/>
        </w:rPr>
        <w:t xml:space="preserve"> خود</w:t>
      </w:r>
      <w:r w:rsidR="005E394A" w:rsidRPr="002D2F84">
        <w:rPr>
          <w:rtl/>
        </w:rPr>
        <w:t xml:space="preserve"> از ابن غضائری ن</w:t>
      </w:r>
      <w:r>
        <w:rPr>
          <w:rtl/>
        </w:rPr>
        <w:t xml:space="preserve">قل می‌کند که ایشان فرموده‌اند: </w:t>
      </w:r>
      <w:r w:rsidR="00BA68E8" w:rsidRPr="002D2F84">
        <w:rPr>
          <w:rtl/>
        </w:rPr>
        <w:t>«و قال ابن الغضائريّ: إنّه ضعيف جدّا، لا يلتفت إليه، يوضع كثيرا على‏ المهمّات‏</w:t>
      </w:r>
      <w:r w:rsidR="00BA68E8" w:rsidRPr="002D2F84">
        <w:rPr>
          <w:sz w:val="24"/>
          <w:szCs w:val="24"/>
          <w:rtl/>
        </w:rPr>
        <w:t>»</w:t>
      </w:r>
      <w:r w:rsidR="00BA68E8" w:rsidRPr="002D2F84">
        <w:rPr>
          <w:rStyle w:val="FootnoteReference"/>
          <w:sz w:val="24"/>
          <w:szCs w:val="24"/>
          <w:rtl/>
        </w:rPr>
        <w:footnoteReference w:id="12"/>
      </w:r>
    </w:p>
    <w:p w14:paraId="64C4764C" w14:textId="2C91BD96" w:rsidR="00EC466F" w:rsidRPr="002D2F84" w:rsidRDefault="00BA68E8" w:rsidP="002655C5">
      <w:pPr>
        <w:pStyle w:val="NoSpacing"/>
        <w:jc w:val="both"/>
        <w:rPr>
          <w:sz w:val="24"/>
          <w:szCs w:val="24"/>
          <w:rtl/>
        </w:rPr>
      </w:pPr>
      <w:r w:rsidRPr="002D2F84">
        <w:rPr>
          <w:sz w:val="24"/>
          <w:szCs w:val="24"/>
          <w:rtl/>
        </w:rPr>
        <w:t xml:space="preserve"> </w:t>
      </w:r>
      <w:r w:rsidR="00EC466F" w:rsidRPr="002D2F84">
        <w:rPr>
          <w:rtl/>
        </w:rPr>
        <w:t>در اعتبار نقل‌های علامه از کتاب ابن غضائری اختلاف است. آیت الله زنجانی و</w:t>
      </w:r>
      <w:r w:rsidR="00D96BE3">
        <w:rPr>
          <w:rFonts w:hint="cs"/>
          <w:rtl/>
        </w:rPr>
        <w:t>آیت الله</w:t>
      </w:r>
      <w:r w:rsidR="00EC466F" w:rsidRPr="002D2F84">
        <w:rPr>
          <w:rtl/>
        </w:rPr>
        <w:t xml:space="preserve"> سیستانی حفظهما الله مصر</w:t>
      </w:r>
      <w:r w:rsidRPr="002D2F84">
        <w:rPr>
          <w:rtl/>
        </w:rPr>
        <w:t>ّ</w:t>
      </w:r>
      <w:r w:rsidR="00EC466F" w:rsidRPr="002D2F84">
        <w:rPr>
          <w:rtl/>
        </w:rPr>
        <w:t xml:space="preserve"> بر اعتبار این نقل‌ها هستند و می‌فرمایند: «کتاب ابن غضائری به ایشان رسیده است و او از این کتاب نقل می‌کند و به این نقل‌ها اعتماد می‌شود»</w:t>
      </w:r>
      <w:r w:rsidR="00B949DC">
        <w:rPr>
          <w:rFonts w:hint="cs"/>
          <w:rtl/>
        </w:rPr>
        <w:t>.</w:t>
      </w:r>
    </w:p>
    <w:p w14:paraId="68986933" w14:textId="2C4D0965" w:rsidR="00EC466F" w:rsidRPr="00B949DC" w:rsidRDefault="00EC466F" w:rsidP="002655C5">
      <w:pPr>
        <w:pStyle w:val="NoSpacing"/>
        <w:jc w:val="both"/>
        <w:rPr>
          <w:rtl/>
        </w:rPr>
      </w:pPr>
      <w:r w:rsidRPr="002D2F84">
        <w:rPr>
          <w:rtl/>
        </w:rPr>
        <w:t>ولی مرحوم خویی فرموده‌اند</w:t>
      </w:r>
      <w:r w:rsidR="00BA68E8" w:rsidRPr="002D2F84">
        <w:rPr>
          <w:rtl/>
        </w:rPr>
        <w:t>:</w:t>
      </w:r>
      <w:r w:rsidRPr="002D2F84">
        <w:rPr>
          <w:rtl/>
        </w:rPr>
        <w:t xml:space="preserve"> شیخ طوسی در فهرست راجع به ابن غضائری فرمودند </w:t>
      </w:r>
      <w:r w:rsidRPr="00B949DC">
        <w:rPr>
          <w:rtl/>
        </w:rPr>
        <w:t>«</w:t>
      </w:r>
      <w:r w:rsidR="00B86C1E" w:rsidRPr="00B949DC">
        <w:rPr>
          <w:rtl/>
        </w:rPr>
        <w:t>فإنّه عمل كتابين... غير أنّ هذين الكتابين لم ينسخهما أحد من أصحابنا، و اخترم‏ هو رحمه اللّه -یعنی مرگ ناگهانی در ایام جوانی داشت- و عمد بعض ورثته إلى إهلاك هذين الكتابين و غيرهما من الكتب! على ما يحكى بعضهم عنهم»</w:t>
      </w:r>
      <w:r w:rsidR="00B86C1E" w:rsidRPr="00B949DC">
        <w:rPr>
          <w:rStyle w:val="FootnoteReference"/>
          <w:rtl/>
        </w:rPr>
        <w:footnoteReference w:id="13"/>
      </w:r>
    </w:p>
    <w:p w14:paraId="6F0E20B6" w14:textId="2A6555DB" w:rsidR="00E52713" w:rsidRPr="002D2F84" w:rsidRDefault="00E52713" w:rsidP="002655C5">
      <w:pPr>
        <w:pStyle w:val="NoSpacing"/>
        <w:jc w:val="both"/>
        <w:rPr>
          <w:rtl/>
        </w:rPr>
      </w:pPr>
      <w:r w:rsidRPr="002D2F84">
        <w:rPr>
          <w:rtl/>
        </w:rPr>
        <w:t>نجاشی نیز برای ابن غضائری</w:t>
      </w:r>
      <w:r w:rsidR="00DB10ED" w:rsidRPr="002D2F84">
        <w:rPr>
          <w:rtl/>
        </w:rPr>
        <w:t xml:space="preserve"> </w:t>
      </w:r>
      <w:r w:rsidR="00AE0FCF" w:rsidRPr="002D2F84">
        <w:rPr>
          <w:rFonts w:ascii="Sakkal Majalla" w:hAnsi="Sakkal Majalla" w:cs="Sakkal Majalla" w:hint="cs"/>
          <w:rtl/>
        </w:rPr>
        <w:t>–</w:t>
      </w:r>
      <w:r w:rsidR="00AE0FCF" w:rsidRPr="002D2F84">
        <w:rPr>
          <w:rtl/>
        </w:rPr>
        <w:t>یعنی احمد بن حسین</w:t>
      </w:r>
      <w:r w:rsidR="00DB10ED" w:rsidRPr="002D2F84">
        <w:rPr>
          <w:rtl/>
        </w:rPr>
        <w:t xml:space="preserve"> </w:t>
      </w:r>
      <w:r w:rsidR="00B949DC">
        <w:rPr>
          <w:rFonts w:hint="cs"/>
          <w:rtl/>
        </w:rPr>
        <w:t xml:space="preserve">که </w:t>
      </w:r>
      <w:r w:rsidR="00DB10ED" w:rsidRPr="002D2F84">
        <w:rPr>
          <w:rtl/>
        </w:rPr>
        <w:t>صاحب کتاب رجال</w:t>
      </w:r>
      <w:r w:rsidR="00B949DC">
        <w:rPr>
          <w:rFonts w:hint="cs"/>
          <w:rtl/>
        </w:rPr>
        <w:t>ِ</w:t>
      </w:r>
      <w:r w:rsidR="00DB10ED" w:rsidRPr="002D2F84">
        <w:rPr>
          <w:rtl/>
        </w:rPr>
        <w:t xml:space="preserve"> «الضعفاء» است </w:t>
      </w:r>
      <w:r w:rsidR="00B949DC">
        <w:rPr>
          <w:rFonts w:hint="cs"/>
          <w:rtl/>
        </w:rPr>
        <w:t>و</w:t>
      </w:r>
      <w:r w:rsidR="00DB10ED" w:rsidRPr="002D2F84">
        <w:rPr>
          <w:rtl/>
        </w:rPr>
        <w:t xml:space="preserve"> الان نیز موجود است-</w:t>
      </w:r>
      <w:r w:rsidRPr="002D2F84">
        <w:rPr>
          <w:rtl/>
        </w:rPr>
        <w:t xml:space="preserve"> </w:t>
      </w:r>
      <w:r w:rsidR="00AE0FCF" w:rsidRPr="002D2F84">
        <w:rPr>
          <w:rtl/>
        </w:rPr>
        <w:t xml:space="preserve">با این که هم‌درس او بود و با هم پیش حسین بن عبیدالله بن غضایری درس می‌خواندند، </w:t>
      </w:r>
      <w:r w:rsidRPr="002D2F84">
        <w:rPr>
          <w:rtl/>
        </w:rPr>
        <w:t xml:space="preserve">کتاب ذکر نکرده است </w:t>
      </w:r>
      <w:r w:rsidR="00DB10ED" w:rsidRPr="002D2F84">
        <w:rPr>
          <w:rtl/>
        </w:rPr>
        <w:t>ولی از پد</w:t>
      </w:r>
      <w:r w:rsidR="00AE0FCF" w:rsidRPr="002D2F84">
        <w:rPr>
          <w:rtl/>
        </w:rPr>
        <w:t>ر یعنی حسین بن عبید الله نقل م</w:t>
      </w:r>
      <w:r w:rsidR="00DB10ED" w:rsidRPr="002D2F84">
        <w:rPr>
          <w:rtl/>
        </w:rPr>
        <w:t>ی‌کند</w:t>
      </w:r>
      <w:r w:rsidR="00AE0FCF" w:rsidRPr="002D2F84">
        <w:rPr>
          <w:rtl/>
        </w:rPr>
        <w:t>.</w:t>
      </w:r>
    </w:p>
    <w:p w14:paraId="119B37EF" w14:textId="3E0C1484" w:rsidR="00514C4B" w:rsidRPr="002D2F84" w:rsidRDefault="00DB10ED" w:rsidP="002655C5">
      <w:pPr>
        <w:pStyle w:val="NoSpacing"/>
        <w:jc w:val="both"/>
        <w:rPr>
          <w:rtl/>
        </w:rPr>
      </w:pPr>
      <w:r w:rsidRPr="002D2F84">
        <w:rPr>
          <w:rtl/>
        </w:rPr>
        <w:t xml:space="preserve">بعضی می‌گویند: </w:t>
      </w:r>
      <w:r w:rsidR="00386554" w:rsidRPr="002D2F84">
        <w:rPr>
          <w:rtl/>
        </w:rPr>
        <w:t xml:space="preserve">شیخ طوسی اشتباه کرده </w:t>
      </w:r>
      <w:r w:rsidR="00AE0FCF" w:rsidRPr="002D2F84">
        <w:rPr>
          <w:rtl/>
        </w:rPr>
        <w:t>است علاوه بر این که</w:t>
      </w:r>
      <w:r w:rsidR="00386554" w:rsidRPr="002D2F84">
        <w:rPr>
          <w:rtl/>
        </w:rPr>
        <w:t xml:space="preserve"> تعبیر به «ما حکی بعضهم</w:t>
      </w:r>
      <w:r w:rsidR="00AE0FCF" w:rsidRPr="002D2F84">
        <w:rPr>
          <w:rtl/>
        </w:rPr>
        <w:t xml:space="preserve">» نیز </w:t>
      </w:r>
      <w:r w:rsidR="00386554" w:rsidRPr="002D2F84">
        <w:rPr>
          <w:rtl/>
        </w:rPr>
        <w:t>کرده است. و</w:t>
      </w:r>
      <w:r w:rsidR="00AE0FCF" w:rsidRPr="002D2F84">
        <w:rPr>
          <w:rtl/>
        </w:rPr>
        <w:t xml:space="preserve"> الا</w:t>
      </w:r>
      <w:r w:rsidR="00386554" w:rsidRPr="002D2F84">
        <w:rPr>
          <w:rtl/>
        </w:rPr>
        <w:t xml:space="preserve"> عبارت‌های نجاشی گاهی دقیقا مثل عبارت‌هایی است که علامه از ابن غضائری نقل می‌کند</w:t>
      </w:r>
      <w:r w:rsidR="00514C4B" w:rsidRPr="002D2F84">
        <w:rPr>
          <w:rtl/>
        </w:rPr>
        <w:t xml:space="preserve">. </w:t>
      </w:r>
    </w:p>
    <w:p w14:paraId="7F334BAB" w14:textId="6E20A709" w:rsidR="00603C7F" w:rsidRPr="002D2F84" w:rsidRDefault="00514C4B" w:rsidP="002655C5">
      <w:pPr>
        <w:pStyle w:val="NoSpacing"/>
        <w:jc w:val="both"/>
        <w:rPr>
          <w:rtl/>
        </w:rPr>
      </w:pPr>
      <w:r w:rsidRPr="002D2F84">
        <w:rPr>
          <w:rtl/>
        </w:rPr>
        <w:t>ولی ممکن است هر دو -یعنی نجاشی و ابن غضائری- شفاها</w:t>
      </w:r>
      <w:r w:rsidR="00095312">
        <w:rPr>
          <w:rFonts w:hint="cs"/>
          <w:rtl/>
        </w:rPr>
        <w:t>ً</w:t>
      </w:r>
      <w:r w:rsidRPr="002D2F84">
        <w:rPr>
          <w:rtl/>
        </w:rPr>
        <w:t xml:space="preserve"> از حسین بن عبید الله شنیده باشند. و این دلیل</w:t>
      </w:r>
      <w:r w:rsidR="00095312">
        <w:rPr>
          <w:rFonts w:hint="cs"/>
          <w:rtl/>
        </w:rPr>
        <w:t xml:space="preserve"> بر</w:t>
      </w:r>
      <w:r w:rsidRPr="002D2F84">
        <w:rPr>
          <w:rtl/>
        </w:rPr>
        <w:t xml:space="preserve"> وجود کتاب ابن غضائری نزد نجاشی نبوده است</w:t>
      </w:r>
      <w:r w:rsidR="00095312">
        <w:rPr>
          <w:rFonts w:hint="cs"/>
          <w:rtl/>
        </w:rPr>
        <w:t>.</w:t>
      </w:r>
      <w:r w:rsidR="00095312">
        <w:rPr>
          <w:rtl/>
        </w:rPr>
        <w:t xml:space="preserve"> </w:t>
      </w:r>
      <w:r w:rsidR="00603C7F" w:rsidRPr="002D2F84">
        <w:rPr>
          <w:rtl/>
        </w:rPr>
        <w:t>کتاب منسوب به ابن غضائری به علامه رسیده است</w:t>
      </w:r>
      <w:r w:rsidR="00095312">
        <w:rPr>
          <w:rFonts w:hint="cs"/>
          <w:rtl/>
        </w:rPr>
        <w:t xml:space="preserve"> اما</w:t>
      </w:r>
      <w:r w:rsidR="00603C7F" w:rsidRPr="002D2F84">
        <w:rPr>
          <w:rtl/>
        </w:rPr>
        <w:t xml:space="preserve"> با توجه به فرمایش شیخ طوسی اعتماد به کتاب ابن غضائری مشکل است و وثوق به اعتبار نقل‌ها</w:t>
      </w:r>
      <w:r w:rsidR="00AE0FCF" w:rsidRPr="002D2F84">
        <w:rPr>
          <w:rtl/>
        </w:rPr>
        <w:t>ی علامه از این کتاب پیدا نمی‌شود.</w:t>
      </w:r>
    </w:p>
    <w:p w14:paraId="57351B22" w14:textId="74833345" w:rsidR="00AE159E" w:rsidRPr="002D2F84" w:rsidRDefault="004604E7" w:rsidP="002655C5">
      <w:pPr>
        <w:pStyle w:val="NoSpacing"/>
        <w:jc w:val="both"/>
        <w:rPr>
          <w:rtl/>
        </w:rPr>
      </w:pPr>
      <w:r w:rsidRPr="002D2F84">
        <w:rPr>
          <w:rtl/>
        </w:rPr>
        <w:t xml:space="preserve">تقریب استدلال: امام علیه السلام در شبهه حکمیه امر به احتیاط کردند. </w:t>
      </w:r>
    </w:p>
    <w:p w14:paraId="4AD2F518" w14:textId="14C44691" w:rsidR="004604E7" w:rsidRPr="002D2F84" w:rsidRDefault="004604E7" w:rsidP="002655C5">
      <w:pPr>
        <w:pStyle w:val="Heading3"/>
        <w:rPr>
          <w:rtl/>
        </w:rPr>
      </w:pPr>
      <w:bookmarkStart w:id="13" w:name="_Toc185400351"/>
      <w:r w:rsidRPr="002D2F84">
        <w:rPr>
          <w:rtl/>
        </w:rPr>
        <w:lastRenderedPageBreak/>
        <w:t>بررسی روایت اول</w:t>
      </w:r>
      <w:bookmarkEnd w:id="13"/>
    </w:p>
    <w:p w14:paraId="044403BD" w14:textId="12565790" w:rsidR="004604E7" w:rsidRPr="002D2F84" w:rsidRDefault="004604E7" w:rsidP="002655C5">
      <w:pPr>
        <w:pStyle w:val="NoSpacing"/>
        <w:jc w:val="both"/>
        <w:rPr>
          <w:rtl/>
        </w:rPr>
      </w:pPr>
      <w:r w:rsidRPr="002D2F84">
        <w:rPr>
          <w:rtl/>
        </w:rPr>
        <w:t xml:space="preserve">این کلام تمام نیست زیرا اولا: مورد این روایت شبهه‌ی حکمیه وجوبیه است و حتی اخباریون نیز قائل به عدم وجوب احتیاط در این شبهات هستند </w:t>
      </w:r>
      <w:r w:rsidR="00095312">
        <w:rPr>
          <w:rFonts w:hint="cs"/>
          <w:rtl/>
        </w:rPr>
        <w:t>و</w:t>
      </w:r>
      <w:r w:rsidRPr="002D2F84">
        <w:rPr>
          <w:rtl/>
        </w:rPr>
        <w:t xml:space="preserve"> </w:t>
      </w:r>
      <w:r w:rsidR="00095312">
        <w:rPr>
          <w:rFonts w:hint="cs"/>
          <w:rtl/>
        </w:rPr>
        <w:t>تنها</w:t>
      </w:r>
      <w:r w:rsidRPr="002D2F84">
        <w:rPr>
          <w:rtl/>
        </w:rPr>
        <w:t xml:space="preserve"> در خصوص شبهات حکمیه تحریمیه قائل به احتیاط هستند لذا نباید به این روایت استدلال کنند. </w:t>
      </w:r>
    </w:p>
    <w:p w14:paraId="352F1D9B" w14:textId="0679092D" w:rsidR="001F4628" w:rsidRPr="002D2F84" w:rsidRDefault="006247B2" w:rsidP="002655C5">
      <w:pPr>
        <w:pStyle w:val="NoSpacing"/>
        <w:jc w:val="both"/>
        <w:rPr>
          <w:rtl/>
        </w:rPr>
      </w:pPr>
      <w:r w:rsidRPr="002D2F84">
        <w:rPr>
          <w:rtl/>
        </w:rPr>
        <w:t xml:space="preserve">ثانیا: شأن امام علیه السلام نیست که در موارد شبهه حکمیه که از او در مورد حکم واقعی </w:t>
      </w:r>
      <w:r w:rsidR="00095312">
        <w:rPr>
          <w:rFonts w:hint="cs"/>
          <w:rtl/>
        </w:rPr>
        <w:t>چیزی</w:t>
      </w:r>
      <w:r w:rsidRPr="002D2F84">
        <w:rPr>
          <w:rtl/>
        </w:rPr>
        <w:t xml:space="preserve"> سؤال می‌شود حکم به احتیاط کنند. مراجع تقلید چون برای آن‌ها شبهه ب</w:t>
      </w:r>
      <w:r w:rsidR="00495DA2">
        <w:rPr>
          <w:rFonts w:hint="cs"/>
          <w:rtl/>
        </w:rPr>
        <w:t xml:space="preserve">ه </w:t>
      </w:r>
      <w:r w:rsidRPr="002D2F84">
        <w:rPr>
          <w:rtl/>
        </w:rPr>
        <w:t>وجود می‌آید فتوای به احتیاط واجب می‌دهند و معنای آن این ا</w:t>
      </w:r>
      <w:r w:rsidR="00495DA2">
        <w:rPr>
          <w:rtl/>
        </w:rPr>
        <w:t>ست که ما حکم مسأله را نمی‌دانیم</w:t>
      </w:r>
      <w:r w:rsidRPr="002D2F84">
        <w:rPr>
          <w:rtl/>
        </w:rPr>
        <w:t xml:space="preserve"> </w:t>
      </w:r>
      <w:r w:rsidR="00495DA2">
        <w:rPr>
          <w:rFonts w:hint="cs"/>
          <w:rtl/>
        </w:rPr>
        <w:t>-</w:t>
      </w:r>
      <w:r w:rsidRPr="002D2F84">
        <w:rPr>
          <w:rtl/>
        </w:rPr>
        <w:t>البته گاهی معنای احتیاط واجب این نیست و حکم مسأله را می</w:t>
      </w:r>
      <w:r w:rsidR="00495DA2">
        <w:rPr>
          <w:rtl/>
        </w:rPr>
        <w:t>‌دانند ولی نمی‌خواهند بیان کنند</w:t>
      </w:r>
      <w:r w:rsidR="00495DA2">
        <w:rPr>
          <w:rFonts w:hint="cs"/>
          <w:rtl/>
        </w:rPr>
        <w:t>-</w:t>
      </w:r>
      <w:r w:rsidRPr="002D2F84">
        <w:rPr>
          <w:rtl/>
        </w:rPr>
        <w:t xml:space="preserve"> </w:t>
      </w:r>
      <w:r w:rsidR="001F4628" w:rsidRPr="002D2F84">
        <w:rPr>
          <w:rtl/>
        </w:rPr>
        <w:t>ولی امام علیه السلام چنین نیست. و اصلا تعبیر «حائط</w:t>
      </w:r>
      <w:r w:rsidR="00811695" w:rsidRPr="002D2F84">
        <w:rPr>
          <w:rtl/>
        </w:rPr>
        <w:t>ة</w:t>
      </w:r>
      <w:r w:rsidR="001F4628" w:rsidRPr="002D2F84">
        <w:rPr>
          <w:rtl/>
        </w:rPr>
        <w:t xml:space="preserve"> لدینک» ربطی به </w:t>
      </w:r>
      <w:r w:rsidR="00FD1B34" w:rsidRPr="002D2F84">
        <w:rPr>
          <w:rtl/>
        </w:rPr>
        <w:t xml:space="preserve">احتیاط اصطلاحی ندارد. </w:t>
      </w:r>
      <w:r w:rsidR="00E40F73" w:rsidRPr="002D2F84">
        <w:rPr>
          <w:rtl/>
        </w:rPr>
        <w:t>و معنای آن این است که «دین خود را حفظ کنی». معنای «</w:t>
      </w:r>
      <w:r w:rsidR="00E40F73" w:rsidRPr="002D2F84">
        <w:rPr>
          <w:color w:val="0070C0"/>
          <w:rtl/>
        </w:rPr>
        <w:t>اخوک دینک فاحتط لدینک</w:t>
      </w:r>
      <w:r w:rsidR="00E40F73" w:rsidRPr="002D2F84">
        <w:rPr>
          <w:rtl/>
        </w:rPr>
        <w:t>» این نیست که «در مشکوکات احتیاط کن» بلکه معنای آن این است که «همان‌طور که برادر خود را حفظ می‌کنی دین خود را نیز حفظ کن»</w:t>
      </w:r>
      <w:r w:rsidR="00495DA2">
        <w:rPr>
          <w:rtl/>
        </w:rPr>
        <w:t xml:space="preserve"> «حاط</w:t>
      </w:r>
      <w:r w:rsidR="00495DA2">
        <w:rPr>
          <w:rFonts w:hint="cs"/>
          <w:rtl/>
        </w:rPr>
        <w:t>ه</w:t>
      </w:r>
      <w:r w:rsidR="00590A74" w:rsidRPr="002D2F84">
        <w:rPr>
          <w:rtl/>
        </w:rPr>
        <w:t xml:space="preserve">» را در لغت به «حفظه» معنا کردند. </w:t>
      </w:r>
    </w:p>
    <w:p w14:paraId="6CAB741B" w14:textId="062D5CDC" w:rsidR="00E97724" w:rsidRPr="002D2F84" w:rsidRDefault="00E97724" w:rsidP="002655C5">
      <w:pPr>
        <w:pStyle w:val="NoSpacing"/>
        <w:jc w:val="both"/>
        <w:rPr>
          <w:rtl/>
        </w:rPr>
      </w:pPr>
      <w:r w:rsidRPr="002D2F84">
        <w:rPr>
          <w:rtl/>
        </w:rPr>
        <w:t xml:space="preserve">ثالثا: ممکن است مورد سؤال این بود که هوا تاریک می‌شود و ما در استتار قرص شک می‌کنیم. </w:t>
      </w:r>
      <w:r w:rsidR="00176B1E" w:rsidRPr="002D2F84">
        <w:rPr>
          <w:rtl/>
        </w:rPr>
        <w:t xml:space="preserve">چون کنار کوه بودند و احتمال می‌دهند که خورشید پشت کوه باشد. </w:t>
      </w:r>
      <w:r w:rsidR="00A94500" w:rsidRPr="002D2F84">
        <w:rPr>
          <w:rtl/>
        </w:rPr>
        <w:t xml:space="preserve">لذا امام علیه السلام فرمودند «احتیاط کن» زیرا شبهه‌ی موضوعیه است و استصحاب عدم استتار قرص جاری می‌شود. لذا این روایت ربطی به بحث ما ندارد. </w:t>
      </w:r>
    </w:p>
    <w:p w14:paraId="74C2E781" w14:textId="6390A3A2" w:rsidR="003144FF" w:rsidRPr="002D2F84" w:rsidRDefault="003144FF" w:rsidP="002655C5">
      <w:pPr>
        <w:pStyle w:val="NoSpacing"/>
        <w:jc w:val="both"/>
        <w:rPr>
          <w:rtl/>
        </w:rPr>
      </w:pPr>
      <w:r w:rsidRPr="002D2F84">
        <w:rPr>
          <w:rtl/>
        </w:rPr>
        <w:t>اگر فرض یقین به استتار قرص باشد ولی او نمی‌داند استتار قرص برای نماز مغرب و افطار کافی است یا باید زوال حمره‌ی مشرقیه شود، مناسب این است که امام علیه السلام حکم واقعی را بیان کنند ولی چون مقام تقیه است با این لسان</w:t>
      </w:r>
      <w:r w:rsidR="00606B2F" w:rsidRPr="002D2F84">
        <w:rPr>
          <w:rtl/>
        </w:rPr>
        <w:t xml:space="preserve"> لطیف</w:t>
      </w:r>
      <w:r w:rsidRPr="002D2F84">
        <w:rPr>
          <w:rtl/>
        </w:rPr>
        <w:t xml:space="preserve"> حکم واقعی را بیان می‌کنند</w:t>
      </w:r>
      <w:r w:rsidR="00D41105" w:rsidRPr="002D2F84">
        <w:rPr>
          <w:rtl/>
        </w:rPr>
        <w:t xml:space="preserve"> و صریح نمی‌گویند «صبر کن تا زوال حمره‌ی مشرقیه شود» تا عامه بگویند «شما مخالف سنت پیامبر صلی الله علیه و آله و سلم عمل </w:t>
      </w:r>
      <w:r w:rsidR="00282A3E">
        <w:rPr>
          <w:rFonts w:hint="cs"/>
          <w:rtl/>
        </w:rPr>
        <w:t>می‌</w:t>
      </w:r>
      <w:r w:rsidR="00D41105" w:rsidRPr="002D2F84">
        <w:rPr>
          <w:rtl/>
        </w:rPr>
        <w:t>کنید چون ایشان بعد از غروب خورشید نماز مغرب می‌خواندند»</w:t>
      </w:r>
      <w:r w:rsidR="00282A3E">
        <w:rPr>
          <w:rFonts w:hint="cs"/>
          <w:rtl/>
        </w:rPr>
        <w:t>.</w:t>
      </w:r>
    </w:p>
    <w:p w14:paraId="71A6F587" w14:textId="3E2ACCCE" w:rsidR="00C47D45" w:rsidRPr="002D2F84" w:rsidRDefault="00C47D45" w:rsidP="002655C5">
      <w:pPr>
        <w:pStyle w:val="NoSpacing"/>
        <w:jc w:val="both"/>
        <w:rPr>
          <w:color w:val="000000"/>
          <w:sz w:val="30"/>
          <w:szCs w:val="30"/>
          <w:rtl/>
        </w:rPr>
      </w:pPr>
      <w:r w:rsidRPr="002D2F84">
        <w:rPr>
          <w:rtl/>
        </w:rPr>
        <w:t xml:space="preserve">البته غرض امام علیه السلام در توقیع حمیری نسبت به اختلاف دو حدیث </w:t>
      </w:r>
      <w:r w:rsidR="00282A3E">
        <w:rPr>
          <w:rFonts w:hint="cs"/>
          <w:rtl/>
        </w:rPr>
        <w:t>(</w:t>
      </w:r>
      <w:r w:rsidRPr="002D2F84">
        <w:rPr>
          <w:rtl/>
        </w:rPr>
        <w:t xml:space="preserve">که </w:t>
      </w:r>
      <w:r w:rsidR="00282A3E">
        <w:rPr>
          <w:rFonts w:hint="cs"/>
          <w:rtl/>
        </w:rPr>
        <w:t xml:space="preserve">حکم ظاهری را اینچنین بیان) </w:t>
      </w:r>
      <w:r w:rsidRPr="002D2F84">
        <w:rPr>
          <w:rtl/>
        </w:rPr>
        <w:t xml:space="preserve">فرمودند </w:t>
      </w:r>
      <w:r w:rsidRPr="002D2F84">
        <w:rPr>
          <w:color w:val="0070C0"/>
          <w:sz w:val="28"/>
          <w:rtl/>
        </w:rPr>
        <w:t>«</w:t>
      </w:r>
      <w:r w:rsidR="0010498B" w:rsidRPr="002D2F84">
        <w:rPr>
          <w:color w:val="0070C0"/>
          <w:sz w:val="28"/>
          <w:rtl/>
        </w:rPr>
        <w:t>وَ بِأَيِّهِمَا أَخَذْتَ‏ مِنْ جِهَةِ التَّسْلِيمِ كَانَ صَوَابا</w:t>
      </w:r>
      <w:r w:rsidRPr="002D2F84">
        <w:rPr>
          <w:color w:val="0070C0"/>
          <w:sz w:val="28"/>
          <w:rtl/>
        </w:rPr>
        <w:t>»</w:t>
      </w:r>
      <w:r w:rsidR="0010498B" w:rsidRPr="002D2F84">
        <w:rPr>
          <w:rStyle w:val="FootnoteReference"/>
          <w:color w:val="0070C0"/>
          <w:sz w:val="28"/>
          <w:rtl/>
        </w:rPr>
        <w:footnoteReference w:id="14"/>
      </w:r>
      <w:r w:rsidRPr="002D2F84">
        <w:rPr>
          <w:rtl/>
        </w:rPr>
        <w:t xml:space="preserve"> تعلیم سائل است که در عصر غیبت در تعارض دو روایت چ</w:t>
      </w:r>
      <w:r w:rsidR="00282A3E">
        <w:rPr>
          <w:rFonts w:hint="cs"/>
          <w:rtl/>
        </w:rPr>
        <w:t xml:space="preserve">ه </w:t>
      </w:r>
      <w:r w:rsidRPr="002D2F84">
        <w:rPr>
          <w:rtl/>
        </w:rPr>
        <w:t xml:space="preserve">کار کنند. و عدم بیان حکم واقعی در این مورد اشکال ندارد زیرا عصر غیبت است و همه چیز را </w:t>
      </w:r>
      <w:r w:rsidRPr="002D2F84">
        <w:rPr>
          <w:rtl/>
        </w:rPr>
        <w:lastRenderedPageBreak/>
        <w:t>نمی‌توان از امام علیه السلام پرسید. ولی این که امام علیه السلام حاضر در جواب سؤال حکم واقعی را بیان نکنند و امر به احتیاط کنند، خلاف ظاهر است</w:t>
      </w:r>
      <w:r w:rsidR="004E0340" w:rsidRPr="002D2F84">
        <w:rPr>
          <w:rtl/>
        </w:rPr>
        <w:t xml:space="preserve"> لذا این تناسب دارد با این که با این بیان لطیف و نرم حکمی که خلاف تقیه و نظر عامه است را بیان کنند. </w:t>
      </w:r>
    </w:p>
    <w:p w14:paraId="16898E72" w14:textId="616E2282" w:rsidR="00606B2F" w:rsidRPr="002D2F84" w:rsidRDefault="0045505A" w:rsidP="002655C5">
      <w:pPr>
        <w:pStyle w:val="Heading2"/>
        <w:jc w:val="both"/>
        <w:rPr>
          <w:rtl/>
        </w:rPr>
      </w:pPr>
      <w:bookmarkStart w:id="14" w:name="_Toc185400352"/>
      <w:r w:rsidRPr="002D2F84">
        <w:rPr>
          <w:rtl/>
        </w:rPr>
        <w:t>روایت دوم:</w:t>
      </w:r>
      <w:r w:rsidR="00C47D45" w:rsidRPr="002D2F84">
        <w:rPr>
          <w:rtl/>
        </w:rPr>
        <w:t xml:space="preserve"> </w:t>
      </w:r>
      <w:r w:rsidR="00BB00F2" w:rsidRPr="002D2F84">
        <w:rPr>
          <w:rtl/>
        </w:rPr>
        <w:t>روایت ابی هشام جعفری</w:t>
      </w:r>
      <w:bookmarkEnd w:id="14"/>
      <w:r w:rsidR="00BB00F2" w:rsidRPr="002D2F84">
        <w:rPr>
          <w:rtl/>
        </w:rPr>
        <w:t xml:space="preserve"> </w:t>
      </w:r>
    </w:p>
    <w:p w14:paraId="6BABA099" w14:textId="19BB8ED1" w:rsidR="0010498B" w:rsidRPr="002D2F84" w:rsidRDefault="0010498B" w:rsidP="002655C5">
      <w:pPr>
        <w:pStyle w:val="NoSpacing"/>
        <w:jc w:val="both"/>
        <w:rPr>
          <w:color w:val="0070C0"/>
          <w:rtl/>
        </w:rPr>
      </w:pPr>
      <w:r w:rsidRPr="002D2F84">
        <w:rPr>
          <w:color w:val="0070C0"/>
          <w:rtl/>
        </w:rPr>
        <w:t>«عَنْ أَبِي هَاشِمٍ دَاوُدَ بْنِ الْقَاسِمِ الْجَعْفَرِيِّ عَنِ الرِّضَا ع أَنَّ أَمِيرَ الْمُؤْمِنِينَ ع قَالَ لِكُمَيْلِ بْنِ زِيَادٍ أَخُوكَ‏ دِينُكَ‏ فَاحْتَطْ لِدِينِكَ‏ بِمَا شِئْتَ‏.»</w:t>
      </w:r>
      <w:r w:rsidRPr="002D2F84">
        <w:rPr>
          <w:rStyle w:val="FootnoteReference"/>
          <w:rtl/>
        </w:rPr>
        <w:footnoteReference w:id="15"/>
      </w:r>
    </w:p>
    <w:p w14:paraId="611AAC99" w14:textId="0C05FBB7" w:rsidR="003A0740" w:rsidRDefault="003A0740" w:rsidP="002655C5">
      <w:pPr>
        <w:pStyle w:val="Heading3"/>
        <w:rPr>
          <w:rtl/>
        </w:rPr>
      </w:pPr>
      <w:bookmarkStart w:id="15" w:name="_Toc185400353"/>
      <w:r>
        <w:rPr>
          <w:rFonts w:hint="cs"/>
          <w:rtl/>
        </w:rPr>
        <w:t>ایراد به استدلال به روایت دوم</w:t>
      </w:r>
      <w:bookmarkEnd w:id="15"/>
    </w:p>
    <w:p w14:paraId="7B9BFB45" w14:textId="63544178" w:rsidR="003A0740" w:rsidRPr="003A0740" w:rsidRDefault="003A0740" w:rsidP="002655C5">
      <w:pPr>
        <w:pStyle w:val="Heading3"/>
        <w:rPr>
          <w:rtl/>
        </w:rPr>
      </w:pPr>
      <w:bookmarkStart w:id="16" w:name="_Toc185400354"/>
      <w:r>
        <w:rPr>
          <w:rFonts w:hint="cs"/>
          <w:rtl/>
        </w:rPr>
        <w:t>ایراد اول</w:t>
      </w:r>
      <w:bookmarkEnd w:id="16"/>
    </w:p>
    <w:p w14:paraId="175C6586" w14:textId="635287AF" w:rsidR="00BB00F2" w:rsidRPr="002D2F84" w:rsidRDefault="00BB00F2" w:rsidP="002655C5">
      <w:pPr>
        <w:pStyle w:val="NoSpacing"/>
        <w:jc w:val="both"/>
        <w:rPr>
          <w:rtl/>
        </w:rPr>
      </w:pPr>
      <w:r w:rsidRPr="002D2F84">
        <w:rPr>
          <w:rtl/>
        </w:rPr>
        <w:t xml:space="preserve">این روایت نیز سندا ضعیف است. دلالتا نیز تمام نیست زیرا اولا: مراد از «احتیاط در دین» حفظ </w:t>
      </w:r>
      <w:r w:rsidR="00144A72" w:rsidRPr="002D2F84">
        <w:rPr>
          <w:rtl/>
        </w:rPr>
        <w:t xml:space="preserve">و نگه‌داری از </w:t>
      </w:r>
      <w:r w:rsidRPr="002D2F84">
        <w:rPr>
          <w:rtl/>
        </w:rPr>
        <w:t>دین است</w:t>
      </w:r>
      <w:r w:rsidR="00144A72" w:rsidRPr="002D2F84">
        <w:rPr>
          <w:rtl/>
        </w:rPr>
        <w:t xml:space="preserve"> و ربطی به احتیاط مصطلح ندارد. «بما شئت» یعنی «به هر روش مناسبی دین خود را حفظ کن. یا از راه تقیه یا از راه دور شدن از مجتمع</w:t>
      </w:r>
      <w:r w:rsidR="0087547C">
        <w:rPr>
          <w:rFonts w:hint="cs"/>
          <w:rtl/>
        </w:rPr>
        <w:t>،</w:t>
      </w:r>
      <w:r w:rsidR="00144A72" w:rsidRPr="002D2F84">
        <w:rPr>
          <w:rtl/>
        </w:rPr>
        <w:t xml:space="preserve"> دین خود را حفظ کن.» </w:t>
      </w:r>
      <w:r w:rsidR="00936705" w:rsidRPr="002D2F84">
        <w:rPr>
          <w:rtl/>
        </w:rPr>
        <w:t>این که احتیاط عملی در شبهات حکمیه بعد از فحص حفظ دین باشد، اول الکلام است. خود اخذ به برائت و اصالة الحل نیز جزء دین است. اصل حفظ دین لازم است و مرتبه بالای دین را فقط اهل بیت علیهم السلام داشتند و الا کسی حفظ مرتبه‌ی بالای دین را نکرده است.</w:t>
      </w:r>
    </w:p>
    <w:p w14:paraId="168BA239" w14:textId="1534DC68" w:rsidR="00A525EB" w:rsidRPr="0087547C" w:rsidRDefault="003A0740" w:rsidP="002655C5">
      <w:pPr>
        <w:pStyle w:val="Heading3"/>
        <w:rPr>
          <w:rtl/>
        </w:rPr>
      </w:pPr>
      <w:bookmarkStart w:id="17" w:name="_Toc185400355"/>
      <w:r>
        <w:rPr>
          <w:rFonts w:hint="cs"/>
          <w:rtl/>
        </w:rPr>
        <w:t xml:space="preserve">ایراد دوم: </w:t>
      </w:r>
      <w:r w:rsidR="00561BBC" w:rsidRPr="002D2F84">
        <w:rPr>
          <w:rtl/>
        </w:rPr>
        <w:t>جواب شیخ انصاری</w:t>
      </w:r>
      <w:bookmarkEnd w:id="17"/>
      <w:r w:rsidR="0010498B" w:rsidRPr="002D2F84">
        <w:rPr>
          <w:rtl/>
        </w:rPr>
        <w:t xml:space="preserve"> </w:t>
      </w:r>
    </w:p>
    <w:p w14:paraId="49946CAF" w14:textId="27459977" w:rsidR="00561BBC" w:rsidRPr="002D2F84" w:rsidRDefault="00561BBC" w:rsidP="002655C5">
      <w:pPr>
        <w:pStyle w:val="NoSpacing"/>
        <w:jc w:val="both"/>
        <w:rPr>
          <w:rtl/>
        </w:rPr>
      </w:pPr>
      <w:r w:rsidRPr="002D2F84">
        <w:rPr>
          <w:rtl/>
        </w:rPr>
        <w:t>شیخ انصاری رحمه الله فرموده‌اند: اولا: حمل</w:t>
      </w:r>
      <w:r w:rsidR="0010498B" w:rsidRPr="002D2F84">
        <w:rPr>
          <w:rtl/>
        </w:rPr>
        <w:t xml:space="preserve"> «فاحتط»</w:t>
      </w:r>
      <w:r w:rsidRPr="002D2F84">
        <w:rPr>
          <w:rtl/>
        </w:rPr>
        <w:t xml:space="preserve"> بر وجوب احتیاط مستلزم تخصیص اکثر است. زیرا فقط شبهات حکمیه تحریمیه</w:t>
      </w:r>
      <w:r w:rsidR="0010498B" w:rsidRPr="002D2F84">
        <w:rPr>
          <w:rtl/>
        </w:rPr>
        <w:t xml:space="preserve"> تحت آن باقی هستند</w:t>
      </w:r>
      <w:r w:rsidRPr="002D2F84">
        <w:rPr>
          <w:rtl/>
        </w:rPr>
        <w:t xml:space="preserve"> ولی در شبهات حکمیه وجوبیه و شبهات موضوعیه تحریمیه و وجوبیه به اتفاق اخباریون و اصولیون احتیاط لازم نیست و باید تخصیص زده شوند. </w:t>
      </w:r>
    </w:p>
    <w:p w14:paraId="5E003D44" w14:textId="77777777" w:rsidR="003A0740" w:rsidRDefault="00B479A6" w:rsidP="002655C5">
      <w:pPr>
        <w:pStyle w:val="NoSpacing"/>
        <w:jc w:val="both"/>
        <w:rPr>
          <w:rtl/>
        </w:rPr>
      </w:pPr>
      <w:r w:rsidRPr="002D2F84">
        <w:rPr>
          <w:rtl/>
        </w:rPr>
        <w:t>ثانیا: مراد از «فاحتط لدینک» استحباب احتیاط است زیرا مقصود بیان اعلی مراتب احتیاط است</w:t>
      </w:r>
      <w:r w:rsidR="008A15F9" w:rsidRPr="002D2F84">
        <w:rPr>
          <w:rtl/>
        </w:rPr>
        <w:t xml:space="preserve"> و اعلی مراتب احتیاط قطعا مستحب است. ظاهر «اخوک دینک</w:t>
      </w:r>
      <w:r w:rsidR="0010498B" w:rsidRPr="002D2F84">
        <w:rPr>
          <w:rtl/>
        </w:rPr>
        <w:t xml:space="preserve"> فاحتط لدینک</w:t>
      </w:r>
      <w:r w:rsidR="008A15F9" w:rsidRPr="002D2F84">
        <w:rPr>
          <w:rtl/>
        </w:rPr>
        <w:t xml:space="preserve">» این است که </w:t>
      </w:r>
      <w:r w:rsidR="006C0023" w:rsidRPr="002D2F84">
        <w:rPr>
          <w:rtl/>
        </w:rPr>
        <w:t>«دینت برادر تو است» و تا می‌توانی در دینت احتیاط کن مثل «ف</w:t>
      </w:r>
      <w:r w:rsidR="003A0740">
        <w:rPr>
          <w:rFonts w:hint="cs"/>
          <w:rtl/>
        </w:rPr>
        <w:t>ا</w:t>
      </w:r>
      <w:r w:rsidR="006C0023" w:rsidRPr="002D2F84">
        <w:rPr>
          <w:rtl/>
        </w:rPr>
        <w:t>تقوا الله ما استطعتم»</w:t>
      </w:r>
      <w:r w:rsidR="006C0023" w:rsidRPr="002D2F84">
        <w:rPr>
          <w:rStyle w:val="FootnoteReference"/>
          <w:rtl/>
        </w:rPr>
        <w:footnoteReference w:id="16"/>
      </w:r>
      <w:r w:rsidR="003A0740">
        <w:rPr>
          <w:rFonts w:hint="cs"/>
          <w:rtl/>
        </w:rPr>
        <w:t>.</w:t>
      </w:r>
    </w:p>
    <w:p w14:paraId="1DA76120" w14:textId="21563DE4" w:rsidR="00B479A6" w:rsidRPr="002D2F84" w:rsidRDefault="006C0023" w:rsidP="002655C5">
      <w:pPr>
        <w:pStyle w:val="NoSpacing"/>
        <w:jc w:val="both"/>
        <w:rPr>
          <w:rtl/>
        </w:rPr>
      </w:pPr>
      <w:r w:rsidRPr="002D2F84">
        <w:rPr>
          <w:rtl/>
        </w:rPr>
        <w:lastRenderedPageBreak/>
        <w:t xml:space="preserve"> </w:t>
      </w:r>
      <w:r w:rsidR="008A15F9" w:rsidRPr="002D2F84">
        <w:rPr>
          <w:rtl/>
        </w:rPr>
        <w:t xml:space="preserve">دینت برادرت است </w:t>
      </w:r>
      <w:r w:rsidRPr="002D2F84">
        <w:rPr>
          <w:rtl/>
        </w:rPr>
        <w:t xml:space="preserve">یعنی </w:t>
      </w:r>
      <w:r w:rsidR="000D3624" w:rsidRPr="002D2F84">
        <w:rPr>
          <w:rtl/>
        </w:rPr>
        <w:t>همان‌طور که برادرت برا</w:t>
      </w:r>
      <w:r w:rsidR="003A0740">
        <w:rPr>
          <w:rFonts w:hint="cs"/>
          <w:rtl/>
        </w:rPr>
        <w:t>ی</w:t>
      </w:r>
      <w:r w:rsidR="000D3624" w:rsidRPr="002D2F84">
        <w:rPr>
          <w:rtl/>
        </w:rPr>
        <w:t xml:space="preserve">ت مهم است </w:t>
      </w:r>
      <w:r w:rsidRPr="002D2F84">
        <w:rPr>
          <w:rtl/>
        </w:rPr>
        <w:t xml:space="preserve">و سعی در حفظ او داری دینت نیز برایت مهم باشد </w:t>
      </w:r>
      <w:r w:rsidR="000D3624" w:rsidRPr="002D2F84">
        <w:rPr>
          <w:rtl/>
        </w:rPr>
        <w:t xml:space="preserve">البته این کمیل بود که برادرش برایش مهم بود </w:t>
      </w:r>
      <w:r w:rsidRPr="002D2F84">
        <w:rPr>
          <w:rtl/>
        </w:rPr>
        <w:t>و لذا امام علیه الس</w:t>
      </w:r>
      <w:r w:rsidR="003A0740">
        <w:rPr>
          <w:rtl/>
        </w:rPr>
        <w:t>لام دین را تشبیه به برادر کردند</w:t>
      </w:r>
      <w:r w:rsidRPr="002D2F84">
        <w:rPr>
          <w:rtl/>
        </w:rPr>
        <w:t xml:space="preserve"> </w:t>
      </w:r>
      <w:r w:rsidR="000D3624" w:rsidRPr="002D2F84">
        <w:rPr>
          <w:rtl/>
        </w:rPr>
        <w:t>ولی اگر مخاطب شخصی بود که برادر برایش مهم نبود و مالش برایش مهم بود ممکن بود امام علیه السلام به او می‌گفتند: «دینک مالک»</w:t>
      </w:r>
      <w:r w:rsidRPr="002D2F84">
        <w:rPr>
          <w:rtl/>
        </w:rPr>
        <w:t xml:space="preserve">. </w:t>
      </w:r>
    </w:p>
    <w:p w14:paraId="39E08865" w14:textId="6B9DEFD1" w:rsidR="006C0023" w:rsidRPr="002D2F84" w:rsidRDefault="006C0023" w:rsidP="002655C5">
      <w:pPr>
        <w:pStyle w:val="NoSpacing"/>
        <w:jc w:val="both"/>
        <w:rPr>
          <w:rtl/>
        </w:rPr>
      </w:pPr>
      <w:r w:rsidRPr="002D2F84">
        <w:rPr>
          <w:rtl/>
        </w:rPr>
        <w:t xml:space="preserve">این جواب با فرض این که احتیاط به معنای احتیاط مصطلح </w:t>
      </w:r>
      <w:r w:rsidR="00B26F3F">
        <w:rPr>
          <w:rFonts w:hint="cs"/>
          <w:rtl/>
        </w:rPr>
        <w:t>باشد</w:t>
      </w:r>
      <w:r w:rsidRPr="002D2F84">
        <w:rPr>
          <w:rtl/>
        </w:rPr>
        <w:t xml:space="preserve"> جواب خوبی است.</w:t>
      </w:r>
      <w:r w:rsidR="00B449C5" w:rsidRPr="002D2F84">
        <w:rPr>
          <w:rtl/>
        </w:rPr>
        <w:t xml:space="preserve"> </w:t>
      </w:r>
    </w:p>
    <w:p w14:paraId="054BE11A" w14:textId="250611CC" w:rsidR="00B449C5" w:rsidRPr="002D2F84" w:rsidRDefault="0010498B" w:rsidP="002655C5">
      <w:pPr>
        <w:pStyle w:val="NoSpacing"/>
        <w:jc w:val="both"/>
        <w:rPr>
          <w:rtl/>
        </w:rPr>
      </w:pPr>
      <w:r w:rsidRPr="002D2F84">
        <w:rPr>
          <w:rtl/>
        </w:rPr>
        <w:t>البته بحث تخصیص اکثر بنا بر مبنای مشهور در دلالت صیغه‌ی امر بر وجوب است که آن را به وضع می‌دانند.</w:t>
      </w:r>
      <w:r w:rsidR="00B449C5" w:rsidRPr="002D2F84">
        <w:rPr>
          <w:rtl/>
        </w:rPr>
        <w:t xml:space="preserve"> و چون در اکثر شبهات احتیاط لازم نیست امر دایر است بین حمل امر بر مطلق رجحان که در</w:t>
      </w:r>
      <w:r w:rsidR="00B26F3F">
        <w:rPr>
          <w:rFonts w:hint="cs"/>
          <w:rtl/>
        </w:rPr>
        <w:t xml:space="preserve"> </w:t>
      </w:r>
      <w:r w:rsidR="00B449C5" w:rsidRPr="002D2F84">
        <w:rPr>
          <w:rtl/>
        </w:rPr>
        <w:t xml:space="preserve">این صورت دلیل بر وجوب احتیاط در شبهات حکمیه تحریمیه نخواهد بود و بین تخصیص اکثر شبهات که آن مستلزم تخصیص اکثر است. </w:t>
      </w:r>
    </w:p>
    <w:p w14:paraId="7A543C3A" w14:textId="0D080937" w:rsidR="00631A78" w:rsidRPr="002D2F84" w:rsidRDefault="00631A78" w:rsidP="002655C5">
      <w:pPr>
        <w:pStyle w:val="NoSpacing"/>
        <w:jc w:val="both"/>
        <w:rPr>
          <w:rtl/>
        </w:rPr>
      </w:pPr>
      <w:r w:rsidRPr="002D2F84">
        <w:rPr>
          <w:rtl/>
        </w:rPr>
        <w:t xml:space="preserve">ولی به </w:t>
      </w:r>
      <w:r w:rsidRPr="00B26F3F">
        <w:rPr>
          <w:sz w:val="28"/>
          <w:rtl/>
        </w:rPr>
        <w:t>نظر</w:t>
      </w:r>
      <w:r w:rsidRPr="002D2F84">
        <w:rPr>
          <w:rtl/>
        </w:rPr>
        <w:t xml:space="preserve"> ما صیغه‌ی امر برای وجوب وضع نشده بلکه برای مطلق طلب وضع شده است و به اطلاق</w:t>
      </w:r>
      <w:r w:rsidR="00B26F3F">
        <w:rPr>
          <w:rFonts w:hint="cs"/>
          <w:rtl/>
        </w:rPr>
        <w:t>،</w:t>
      </w:r>
      <w:r w:rsidRPr="002D2F84">
        <w:rPr>
          <w:rtl/>
        </w:rPr>
        <w:t xml:space="preserve"> دلالت بر وجوب می‌کند و</w:t>
      </w:r>
      <w:r w:rsidR="0010498B" w:rsidRPr="002D2F84">
        <w:rPr>
          <w:rtl/>
        </w:rPr>
        <w:t xml:space="preserve"> در این صورت خروج اکثر شبهات از تحت آن مستلزم تخصیص نخواهد بود.</w:t>
      </w:r>
      <w:r w:rsidRPr="002D2F84">
        <w:rPr>
          <w:rtl/>
        </w:rPr>
        <w:t xml:space="preserve"> مثل «اکرم کل عالم» که در فقیه اکرام واجب است و در غیر فقیه مستحب است و این به معنای تخصیص خطاب «اکرم کل عالم» نیست </w:t>
      </w:r>
      <w:r w:rsidR="00000637" w:rsidRPr="002D2F84">
        <w:rPr>
          <w:rtl/>
        </w:rPr>
        <w:t>بلکه از باب تعدد دال و مدلول و مقدمات</w:t>
      </w:r>
      <w:r w:rsidR="00741820" w:rsidRPr="002D2F84">
        <w:rPr>
          <w:rtl/>
        </w:rPr>
        <w:t xml:space="preserve"> حکمت</w:t>
      </w:r>
      <w:r w:rsidR="00000637" w:rsidRPr="002D2F84">
        <w:rPr>
          <w:rtl/>
        </w:rPr>
        <w:t xml:space="preserve"> اقتضا می‌کند که در فقیه ملتزم به وجوب و در غیر</w:t>
      </w:r>
      <w:r w:rsidR="00AD1540" w:rsidRPr="002D2F84">
        <w:rPr>
          <w:rtl/>
        </w:rPr>
        <w:t xml:space="preserve"> فقیه به سبب ترخیص در ترک اکرام</w:t>
      </w:r>
      <w:r w:rsidR="003D2715">
        <w:rPr>
          <w:rFonts w:hint="cs"/>
          <w:rtl/>
        </w:rPr>
        <w:t>،</w:t>
      </w:r>
      <w:r w:rsidR="00000637" w:rsidRPr="002D2F84">
        <w:rPr>
          <w:rtl/>
        </w:rPr>
        <w:t xml:space="preserve"> قائل به عدم وجوب شویم و این تخصیص اکثر نیست. </w:t>
      </w:r>
    </w:p>
    <w:p w14:paraId="1100AE0C" w14:textId="077F9748" w:rsidR="00100BB0" w:rsidRPr="002D2F84" w:rsidRDefault="00783DDB" w:rsidP="002655C5">
      <w:pPr>
        <w:pStyle w:val="NoSpacing"/>
        <w:jc w:val="both"/>
      </w:pPr>
      <w:r w:rsidRPr="002D2F84">
        <w:rPr>
          <w:rtl/>
        </w:rPr>
        <w:t xml:space="preserve">ولی </w:t>
      </w:r>
      <w:r w:rsidR="00BE33CF" w:rsidRPr="002D2F84">
        <w:rPr>
          <w:rtl/>
        </w:rPr>
        <w:t>مطلب دیگری که مطرح کردند یعنی دلالت «</w:t>
      </w:r>
      <w:r w:rsidR="00AD1540" w:rsidRPr="002D2F84">
        <w:rPr>
          <w:rtl/>
        </w:rPr>
        <w:t xml:space="preserve">فاحتط لدینک </w:t>
      </w:r>
      <w:r w:rsidR="00BE33CF" w:rsidRPr="002D2F84">
        <w:rPr>
          <w:rtl/>
        </w:rPr>
        <w:t xml:space="preserve">بما شئت» </w:t>
      </w:r>
      <w:r w:rsidR="00AD1540" w:rsidRPr="002D2F84">
        <w:rPr>
          <w:rtl/>
        </w:rPr>
        <w:t xml:space="preserve">به قرینه «بما شئت» </w:t>
      </w:r>
      <w:r w:rsidR="00BE33CF" w:rsidRPr="002D2F84">
        <w:rPr>
          <w:rtl/>
        </w:rPr>
        <w:t xml:space="preserve">بر حداکثر احتیاط ربطی به بحث تخصیص اکثر ندارد. حداکثر احتیاط قطعا لازم نیست و </w:t>
      </w:r>
      <w:r w:rsidR="00FA1AA9" w:rsidRPr="002D2F84">
        <w:rPr>
          <w:rtl/>
        </w:rPr>
        <w:t xml:space="preserve">حتما باید حمل بر استحباب شود و </w:t>
      </w:r>
      <w:r w:rsidR="00BE33CF" w:rsidRPr="002D2F84">
        <w:rPr>
          <w:rtl/>
        </w:rPr>
        <w:t xml:space="preserve">نیاز به تخصیص ندارد. </w:t>
      </w:r>
    </w:p>
    <w:p w14:paraId="286239F8" w14:textId="4AE5B51D" w:rsidR="006C0023" w:rsidRDefault="00C00D03" w:rsidP="002655C5">
      <w:pPr>
        <w:pStyle w:val="Heading2"/>
        <w:jc w:val="both"/>
        <w:rPr>
          <w:rtl/>
        </w:rPr>
      </w:pPr>
      <w:bookmarkStart w:id="18" w:name="_Toc185400356"/>
      <w:r w:rsidRPr="002D2F84">
        <w:rPr>
          <w:rtl/>
        </w:rPr>
        <w:lastRenderedPageBreak/>
        <w:t xml:space="preserve">روایت سوم: </w:t>
      </w:r>
      <w:r w:rsidR="004A4B80" w:rsidRPr="002D2F84">
        <w:rPr>
          <w:rtl/>
        </w:rPr>
        <w:t>صحیحه عبدالرحمن بن حجاج</w:t>
      </w:r>
      <w:bookmarkEnd w:id="18"/>
    </w:p>
    <w:p w14:paraId="6D16034E" w14:textId="484B27C0" w:rsidR="004A4B80" w:rsidRPr="002655C5" w:rsidRDefault="004A4B80" w:rsidP="002655C5">
      <w:pPr>
        <w:jc w:val="both"/>
        <w:rPr>
          <w:rFonts w:ascii="NoorLotus" w:hAnsi="NoorLotus" w:cs="NoorLotus"/>
          <w:bCs/>
          <w:rtl/>
        </w:rPr>
      </w:pPr>
      <w:r w:rsidRPr="002655C5">
        <w:rPr>
          <w:rFonts w:ascii="NoorLotus" w:hAnsi="NoorLotus" w:cs="NoorLotus"/>
          <w:rtl/>
        </w:rPr>
        <w:t>«دو محرم</w:t>
      </w:r>
      <w:r w:rsidR="00AD1540" w:rsidRPr="002655C5">
        <w:rPr>
          <w:rFonts w:ascii="NoorLotus" w:hAnsi="NoorLotus" w:cs="NoorLotus"/>
          <w:rtl/>
        </w:rPr>
        <w:t xml:space="preserve"> با هم یک شکار انجام دادند.</w:t>
      </w:r>
      <w:r w:rsidRPr="002655C5">
        <w:rPr>
          <w:rFonts w:ascii="NoorLotus" w:hAnsi="NoorLotus" w:cs="NoorLotus"/>
          <w:rtl/>
        </w:rPr>
        <w:t xml:space="preserve"> سؤال این </w:t>
      </w:r>
      <w:r w:rsidR="00AD1540" w:rsidRPr="002655C5">
        <w:rPr>
          <w:rFonts w:ascii="NoorLotus" w:hAnsi="NoorLotus" w:cs="NoorLotus"/>
          <w:rtl/>
        </w:rPr>
        <w:t>است که آیا هر دو یک کفاره دهند یعنی</w:t>
      </w:r>
      <w:r w:rsidRPr="002655C5">
        <w:rPr>
          <w:rFonts w:ascii="NoorLotus" w:hAnsi="NoorLotus" w:cs="NoorLotus"/>
          <w:rtl/>
        </w:rPr>
        <w:t xml:space="preserve"> هر دو با هم یک شتر ذبح کنند</w:t>
      </w:r>
      <w:r w:rsidRPr="002655C5">
        <w:rPr>
          <w:rStyle w:val="Heading2Char"/>
          <w:b/>
          <w:bCs w:val="0"/>
          <w:rtl/>
        </w:rPr>
        <w:t xml:space="preserve"> </w:t>
      </w:r>
      <w:r w:rsidRPr="002655C5">
        <w:rPr>
          <w:rFonts w:ascii="NoorLotus" w:hAnsi="NoorLotus" w:cs="NoorLotus"/>
          <w:rtl/>
        </w:rPr>
        <w:t xml:space="preserve">یا هر کدام مستقلا باید کفاره دهند. امام علیه السلام فرمودند: هر کدام باید یک کفاره دهد. عبدالرحمن بن حجاج </w:t>
      </w:r>
      <w:r w:rsidR="003D2715" w:rsidRPr="002655C5">
        <w:rPr>
          <w:rFonts w:ascii="NoorLotus" w:hAnsi="NoorLotus" w:cs="NoorLotus"/>
          <w:rtl/>
        </w:rPr>
        <w:t>عرض کرد</w:t>
      </w:r>
      <w:r w:rsidRPr="002655C5">
        <w:rPr>
          <w:rFonts w:ascii="NoorLotus" w:hAnsi="NoorLotus" w:cs="NoorLotus"/>
          <w:rtl/>
        </w:rPr>
        <w:t>: بعضی از اصحاب این سؤال را</w:t>
      </w:r>
      <w:r w:rsidR="00AD1540" w:rsidRPr="002655C5">
        <w:rPr>
          <w:rFonts w:ascii="NoorLotus" w:hAnsi="NoorLotus" w:cs="NoorLotus"/>
          <w:rtl/>
        </w:rPr>
        <w:t xml:space="preserve"> از من</w:t>
      </w:r>
      <w:r w:rsidRPr="002655C5">
        <w:rPr>
          <w:rFonts w:ascii="NoorLotus" w:hAnsi="NoorLotus" w:cs="NoorLotus"/>
          <w:rtl/>
        </w:rPr>
        <w:t xml:space="preserve"> پرسیدند ولی من جواب آن را نمی‌د</w:t>
      </w:r>
      <w:r w:rsidR="003D2715" w:rsidRPr="002655C5">
        <w:rPr>
          <w:rFonts w:ascii="NoorLotus" w:hAnsi="NoorLotus" w:cs="NoorLotus"/>
          <w:rtl/>
        </w:rPr>
        <w:t>ا</w:t>
      </w:r>
      <w:r w:rsidRPr="002655C5">
        <w:rPr>
          <w:rFonts w:ascii="NoorLotus" w:hAnsi="NoorLotus" w:cs="NoorLotus"/>
          <w:rtl/>
        </w:rPr>
        <w:t>نستم. امام علیه السلام به او فرمودند: «</w:t>
      </w:r>
      <w:r w:rsidR="00AD1540" w:rsidRPr="002655C5">
        <w:rPr>
          <w:rFonts w:ascii="NoorLotus" w:hAnsi="NoorLotus" w:cs="NoorLotus"/>
          <w:rtl/>
        </w:rPr>
        <w:t>إِذَا أُصِبْتُمْ‏ بِمِثْلِ‏ هَذَا فَلَمْ تَدْرُوا فَعَلَيْكُمْ بِالاحْتِيَاطِ حَتَّى تَسْأَلُوا عَنْهُ فَتَعْلَمُوا.</w:t>
      </w:r>
      <w:r w:rsidRPr="002655C5">
        <w:rPr>
          <w:rFonts w:ascii="NoorLotus" w:hAnsi="NoorLotus" w:cs="NoorLotus"/>
          <w:rtl/>
        </w:rPr>
        <w:t>»</w:t>
      </w:r>
      <w:r w:rsidR="00AF08DF" w:rsidRPr="002655C5">
        <w:rPr>
          <w:rFonts w:ascii="NoorLotus" w:hAnsi="NoorLotus" w:cs="NoorLotus"/>
          <w:vertAlign w:val="superscript"/>
          <w:rtl/>
        </w:rPr>
        <w:footnoteReference w:id="17"/>
      </w:r>
    </w:p>
    <w:p w14:paraId="223113B2" w14:textId="27D90589" w:rsidR="00D7299F" w:rsidRPr="002D2F84" w:rsidRDefault="00D7299F" w:rsidP="002655C5">
      <w:pPr>
        <w:pStyle w:val="NoSpacing"/>
        <w:jc w:val="both"/>
        <w:rPr>
          <w:rtl/>
        </w:rPr>
      </w:pPr>
      <w:r w:rsidRPr="002D2F84">
        <w:rPr>
          <w:rtl/>
        </w:rPr>
        <w:t xml:space="preserve">تقریب استدلال: در این روایت امام علیه السلام فرمودند: در شبهات که نمی‌دانید احتیاط کنید. </w:t>
      </w:r>
    </w:p>
    <w:p w14:paraId="5851241C" w14:textId="1649A27E" w:rsidR="00BA1B63" w:rsidRPr="002D2F84" w:rsidRDefault="00BA1B63" w:rsidP="002655C5">
      <w:pPr>
        <w:pStyle w:val="Heading3"/>
        <w:rPr>
          <w:rtl/>
        </w:rPr>
      </w:pPr>
      <w:bookmarkStart w:id="19" w:name="_Toc185400357"/>
      <w:r w:rsidRPr="002D2F84">
        <w:rPr>
          <w:rtl/>
        </w:rPr>
        <w:t>بررسی روایت سوم</w:t>
      </w:r>
      <w:bookmarkEnd w:id="19"/>
    </w:p>
    <w:p w14:paraId="2B7ACCB3" w14:textId="4BB61FBA" w:rsidR="00D7299F" w:rsidRPr="002D2F84" w:rsidRDefault="00D7299F" w:rsidP="002655C5">
      <w:pPr>
        <w:pStyle w:val="NoSpacing"/>
        <w:jc w:val="both"/>
        <w:rPr>
          <w:rtl/>
        </w:rPr>
      </w:pPr>
      <w:r w:rsidRPr="002D2F84">
        <w:rPr>
          <w:rtl/>
        </w:rPr>
        <w:t xml:space="preserve">این روایت نیز دلالت بر وجوب احتیاط ندارد زیرا اولا: ممکن است مراد احتیاط در فتوا باشد. </w:t>
      </w:r>
      <w:r w:rsidRPr="002D2F84">
        <w:rPr>
          <w:color w:val="0070C0"/>
          <w:rtl/>
        </w:rPr>
        <w:t>«فسألنی بعض اصحانا فلم ادر</w:t>
      </w:r>
      <w:r w:rsidR="00BA1B63" w:rsidRPr="002D2F84">
        <w:rPr>
          <w:color w:val="0070C0"/>
          <w:rtl/>
        </w:rPr>
        <w:t xml:space="preserve"> ما علیه</w:t>
      </w:r>
      <w:r w:rsidRPr="002D2F84">
        <w:rPr>
          <w:rtl/>
        </w:rPr>
        <w:t>» و مربوط به مراجع تقلید</w:t>
      </w:r>
      <w:r w:rsidR="00C97A21">
        <w:rPr>
          <w:rFonts w:hint="cs"/>
          <w:rtl/>
        </w:rPr>
        <w:t xml:space="preserve"> </w:t>
      </w:r>
      <w:r w:rsidRPr="002D2F84">
        <w:rPr>
          <w:rtl/>
        </w:rPr>
        <w:t>است که اول باید تحقیق کنند و بعد فتوا دهند. ثانیا: مورد آن شبهه‌ی حکمیه قبل از فحص است زیرا قابل سؤال بود لذا امام علیه السلام فرمودند «</w:t>
      </w:r>
      <w:r w:rsidRPr="002D2F84">
        <w:rPr>
          <w:color w:val="0070C0"/>
          <w:rtl/>
        </w:rPr>
        <w:t>علیکم بالاحتیاط حتی تسألوا</w:t>
      </w:r>
      <w:r w:rsidR="00BA1B63" w:rsidRPr="002D2F84">
        <w:rPr>
          <w:color w:val="0070C0"/>
          <w:rtl/>
        </w:rPr>
        <w:t xml:space="preserve"> عنه فتعلموا</w:t>
      </w:r>
      <w:r w:rsidRPr="002D2F84">
        <w:rPr>
          <w:color w:val="0070C0"/>
          <w:rtl/>
        </w:rPr>
        <w:t xml:space="preserve">» </w:t>
      </w:r>
      <w:r w:rsidRPr="002D2F84">
        <w:rPr>
          <w:rtl/>
        </w:rPr>
        <w:t xml:space="preserve">در حالی که ما متمکن از سؤال نیستیم. </w:t>
      </w:r>
    </w:p>
    <w:p w14:paraId="5A82A731" w14:textId="72F147FE" w:rsidR="00B449C5" w:rsidRPr="002D2F84" w:rsidRDefault="0080541F" w:rsidP="002655C5">
      <w:pPr>
        <w:pStyle w:val="NoSpacing"/>
        <w:jc w:val="both"/>
        <w:rPr>
          <w:rtl/>
        </w:rPr>
      </w:pPr>
      <w:r w:rsidRPr="002D2F84">
        <w:rPr>
          <w:rtl/>
        </w:rPr>
        <w:t>بنابراین ادله‌ی اخب</w:t>
      </w:r>
      <w:r w:rsidR="00BA1B63" w:rsidRPr="002D2F84">
        <w:rPr>
          <w:rtl/>
        </w:rPr>
        <w:t>اریون بر وجوب احتیاط تمام نیستند.</w:t>
      </w:r>
    </w:p>
    <w:p w14:paraId="496CADBF" w14:textId="77777777" w:rsidR="00A94500" w:rsidRPr="002D2F84" w:rsidRDefault="00A94500" w:rsidP="002655C5">
      <w:pPr>
        <w:pStyle w:val="NoSpacing"/>
        <w:jc w:val="both"/>
        <w:rPr>
          <w:rtl/>
        </w:rPr>
      </w:pPr>
    </w:p>
    <w:p w14:paraId="69BE46A7" w14:textId="77777777" w:rsidR="00AE159E" w:rsidRPr="002D2F84" w:rsidRDefault="00AE159E" w:rsidP="002655C5">
      <w:pPr>
        <w:pStyle w:val="NoSpacing"/>
        <w:jc w:val="both"/>
        <w:rPr>
          <w:rtl/>
        </w:rPr>
      </w:pPr>
    </w:p>
    <w:p w14:paraId="289C405D" w14:textId="77777777" w:rsidR="00AE159E" w:rsidRPr="002D2F84" w:rsidRDefault="00AE159E" w:rsidP="002655C5">
      <w:pPr>
        <w:pStyle w:val="NoSpacing"/>
        <w:jc w:val="both"/>
      </w:pPr>
    </w:p>
    <w:sectPr w:rsidR="00AE159E" w:rsidRPr="002D2F84" w:rsidSect="00976D7E">
      <w:headerReference w:type="even" r:id="rId7"/>
      <w:headerReference w:type="default" r:id="rId8"/>
      <w:footerReference w:type="even" r:id="rId9"/>
      <w:footerReference w:type="default" r:id="rId10"/>
      <w:headerReference w:type="first" r:id="rId11"/>
      <w:footerReference w:type="first" r:id="rId12"/>
      <w:pgSz w:w="12240" w:h="15840"/>
      <w:pgMar w:top="9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043364" w14:textId="77777777" w:rsidR="00040E57" w:rsidRDefault="00040E57" w:rsidP="00976D7E">
      <w:pPr>
        <w:spacing w:after="0" w:line="240" w:lineRule="auto"/>
      </w:pPr>
      <w:r>
        <w:separator/>
      </w:r>
    </w:p>
  </w:endnote>
  <w:endnote w:type="continuationSeparator" w:id="0">
    <w:p w14:paraId="489AA05B" w14:textId="77777777" w:rsidR="00040E57" w:rsidRDefault="00040E57" w:rsidP="00976D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B Badr">
    <w:altName w:val="Courier New"/>
    <w:charset w:val="B2"/>
    <w:family w:val="auto"/>
    <w:pitch w:val="variable"/>
    <w:sig w:usb0="00002000" w:usb1="80000000" w:usb2="00000008" w:usb3="00000000" w:csb0="00000040" w:csb1="00000000"/>
  </w:font>
  <w:font w:name="NoorLotus">
    <w:panose1 w:val="00000000000000000000"/>
    <w:charset w:val="00"/>
    <w:family w:val="auto"/>
    <w:pitch w:val="variable"/>
    <w:sig w:usb0="80002007" w:usb1="80002000" w:usb2="00000008" w:usb3="00000000" w:csb0="00000043" w:csb1="00000000"/>
  </w:font>
  <w:font w:name="Times New Roman">
    <w:panose1 w:val="02020603050405020304"/>
    <w:charset w:val="00"/>
    <w:family w:val="roman"/>
    <w:pitch w:val="variable"/>
    <w:sig w:usb0="E0002AFF" w:usb1="C0007841" w:usb2="00000009" w:usb3="00000000" w:csb0="000001F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7F" w:usb1="C000204B" w:usb2="000000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85EA2" w14:textId="77777777" w:rsidR="00D26FA9" w:rsidRDefault="00D26FA9" w:rsidP="007F1053">
    <w:pPr>
      <w:pStyle w:val="Footer"/>
    </w:pPr>
  </w:p>
  <w:p w14:paraId="4F735C45" w14:textId="77777777" w:rsidR="00D26FA9" w:rsidRDefault="00D26FA9" w:rsidP="007F1053"/>
  <w:p w14:paraId="17A7A0CE" w14:textId="77777777" w:rsidR="00D26FA9" w:rsidRDefault="00D26FA9"/>
  <w:p w14:paraId="14D0BB3B" w14:textId="77777777" w:rsidR="00D26FA9" w:rsidRDefault="00D26FA9"/>
  <w:p w14:paraId="26AB8959" w14:textId="77777777" w:rsidR="00D26FA9" w:rsidRDefault="00D26FA9" w:rsidP="007F105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451983836"/>
      <w:docPartObj>
        <w:docPartGallery w:val="Page Numbers (Bottom of Page)"/>
        <w:docPartUnique/>
      </w:docPartObj>
    </w:sdtPr>
    <w:sdtEndPr>
      <w:rPr>
        <w:noProof/>
      </w:rPr>
    </w:sdtEndPr>
    <w:sdtContent>
      <w:p w14:paraId="09F87F4C" w14:textId="77777777" w:rsidR="00D26FA9" w:rsidRDefault="00FA168D" w:rsidP="007F1053">
        <w:pPr>
          <w:pStyle w:val="Footer"/>
          <w:jc w:val="center"/>
        </w:pPr>
        <w:r>
          <w:fldChar w:fldCharType="begin"/>
        </w:r>
        <w:r>
          <w:instrText xml:space="preserve"> PAGE   \* MERGEFORMAT </w:instrText>
        </w:r>
        <w:r>
          <w:fldChar w:fldCharType="separate"/>
        </w:r>
        <w:r w:rsidR="00EC7939">
          <w:rPr>
            <w:noProof/>
            <w:rtl/>
          </w:rPr>
          <w:t>2</w:t>
        </w:r>
        <w:r>
          <w:rPr>
            <w:noProof/>
          </w:rPr>
          <w:fldChar w:fldCharType="end"/>
        </w:r>
      </w:p>
    </w:sdtContent>
  </w:sdt>
  <w:p w14:paraId="1D382EEC" w14:textId="77777777" w:rsidR="00D26FA9" w:rsidRDefault="00D26FA9"/>
  <w:p w14:paraId="0F6CE2F0" w14:textId="77777777" w:rsidR="00D26FA9" w:rsidRDefault="00D26FA9" w:rsidP="007F105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02F496" w14:textId="77777777" w:rsidR="00B42957" w:rsidRDefault="00B429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85EA45" w14:textId="77777777" w:rsidR="00040E57" w:rsidRDefault="00040E57" w:rsidP="00976D7E">
      <w:pPr>
        <w:spacing w:after="0" w:line="240" w:lineRule="auto"/>
      </w:pPr>
      <w:r>
        <w:separator/>
      </w:r>
    </w:p>
  </w:footnote>
  <w:footnote w:type="continuationSeparator" w:id="0">
    <w:p w14:paraId="0046C419" w14:textId="77777777" w:rsidR="00040E57" w:rsidRDefault="00040E57" w:rsidP="00976D7E">
      <w:pPr>
        <w:spacing w:after="0" w:line="240" w:lineRule="auto"/>
      </w:pPr>
      <w:r>
        <w:continuationSeparator/>
      </w:r>
    </w:p>
  </w:footnote>
  <w:footnote w:id="1">
    <w:p w14:paraId="69DE2293" w14:textId="77777777" w:rsidR="00270A22" w:rsidRPr="002D2F84" w:rsidRDefault="00270A22" w:rsidP="002D2F84">
      <w:pPr>
        <w:pStyle w:val="FootnoteText"/>
        <w:bidi/>
        <w:jc w:val="both"/>
        <w:rPr>
          <w:rFonts w:ascii="NoorLotus" w:hAnsi="NoorLotus" w:cs="NoorLotus"/>
          <w:rtl/>
          <w:lang w:bidi="fa-IR"/>
        </w:rPr>
      </w:pPr>
      <w:r w:rsidRPr="002D2F84">
        <w:rPr>
          <w:rStyle w:val="FootnoteReference"/>
          <w:rFonts w:ascii="NoorLotus" w:hAnsi="NoorLotus" w:cs="NoorLotus"/>
        </w:rPr>
        <w:footnoteRef/>
      </w:r>
      <w:r w:rsidRPr="002D2F84">
        <w:rPr>
          <w:rFonts w:ascii="NoorLotus" w:hAnsi="NoorLotus" w:cs="NoorLotus"/>
        </w:rPr>
        <w:t xml:space="preserve"> </w:t>
      </w:r>
      <w:r w:rsidRPr="002D2F84">
        <w:rPr>
          <w:rFonts w:ascii="NoorLotus" w:hAnsi="NoorLotus" w:cs="NoorLotus"/>
          <w:rtl/>
          <w:lang w:bidi="fa-IR"/>
        </w:rPr>
        <w:t>وسائل الشیعة، شیخ حر عاملی، محمد بن حسن، ج27، ص119، ح35.</w:t>
      </w:r>
    </w:p>
  </w:footnote>
  <w:footnote w:id="2">
    <w:p w14:paraId="602FC59B" w14:textId="398970CA" w:rsidR="005C6617" w:rsidRPr="002D2F84" w:rsidRDefault="005C6617" w:rsidP="00EC7939">
      <w:pPr>
        <w:pStyle w:val="FootnoteText"/>
        <w:bidi/>
        <w:jc w:val="both"/>
        <w:rPr>
          <w:rFonts w:ascii="NoorLotus" w:hAnsi="NoorLotus" w:cs="NoorLotus"/>
          <w:rtl/>
          <w:lang w:bidi="fa-IR"/>
        </w:rPr>
      </w:pPr>
      <w:r w:rsidRPr="002D2F84">
        <w:rPr>
          <w:rStyle w:val="FootnoteReference"/>
          <w:rFonts w:ascii="NoorLotus" w:hAnsi="NoorLotus" w:cs="NoorLotus"/>
        </w:rPr>
        <w:footnoteRef/>
      </w:r>
      <w:r w:rsidRPr="002D2F84">
        <w:rPr>
          <w:rFonts w:ascii="NoorLotus" w:hAnsi="NoorLotus" w:cs="NoorLotus"/>
        </w:rPr>
        <w:t xml:space="preserve"> </w:t>
      </w:r>
      <w:r w:rsidR="00270A22" w:rsidRPr="002D2F84">
        <w:rPr>
          <w:rFonts w:ascii="NoorLotus" w:hAnsi="NoorLotus" w:cs="NoorLotus"/>
          <w:rtl/>
          <w:lang w:bidi="fa-IR"/>
        </w:rPr>
        <w:t xml:space="preserve">همان، </w:t>
      </w:r>
      <w:r w:rsidR="00EC7939">
        <w:rPr>
          <w:rFonts w:ascii="NoorLotus" w:hAnsi="NoorLotus" w:cs="NoorLotus" w:hint="cs"/>
          <w:rtl/>
          <w:lang w:bidi="fa-IR"/>
        </w:rPr>
        <w:t>ص</w:t>
      </w:r>
      <w:bookmarkStart w:id="3" w:name="_GoBack"/>
      <w:bookmarkEnd w:id="3"/>
      <w:r w:rsidR="00270A22" w:rsidRPr="002D2F84">
        <w:rPr>
          <w:rFonts w:ascii="NoorLotus" w:hAnsi="NoorLotus" w:cs="NoorLotus"/>
          <w:rtl/>
          <w:lang w:bidi="fa-IR"/>
        </w:rPr>
        <w:t>162، ح28.</w:t>
      </w:r>
    </w:p>
  </w:footnote>
  <w:footnote w:id="3">
    <w:p w14:paraId="5DD054EE" w14:textId="3ADEAA51" w:rsidR="00D00FE5" w:rsidRPr="002D2F84" w:rsidRDefault="00D00FE5" w:rsidP="002D2F84">
      <w:pPr>
        <w:pStyle w:val="FootnoteText"/>
        <w:bidi/>
        <w:jc w:val="both"/>
        <w:rPr>
          <w:rFonts w:ascii="NoorLotus" w:hAnsi="NoorLotus" w:cs="NoorLotus"/>
          <w:rtl/>
          <w:lang w:bidi="fa-IR"/>
        </w:rPr>
      </w:pPr>
      <w:r w:rsidRPr="002D2F84">
        <w:rPr>
          <w:rStyle w:val="FootnoteReference"/>
          <w:rFonts w:ascii="NoorLotus" w:hAnsi="NoorLotus" w:cs="NoorLotus"/>
        </w:rPr>
        <w:footnoteRef/>
      </w:r>
      <w:r w:rsidRPr="002D2F84">
        <w:rPr>
          <w:rFonts w:ascii="NoorLotus" w:hAnsi="NoorLotus" w:cs="NoorLotus"/>
        </w:rPr>
        <w:t xml:space="preserve"> </w:t>
      </w:r>
      <w:r w:rsidRPr="002D2F84">
        <w:rPr>
          <w:rFonts w:ascii="NoorLotus" w:hAnsi="NoorLotus" w:cs="NoorLotus"/>
          <w:rtl/>
          <w:lang w:bidi="fa-IR"/>
        </w:rPr>
        <w:t xml:space="preserve">العدة فی اصول الفقه، طوسی، محمد بن حسن، ج1، ص154. </w:t>
      </w:r>
      <w:r w:rsidRPr="002D2F84">
        <w:rPr>
          <w:rFonts w:ascii="NoorLotus" w:hAnsi="NoorLotus" w:cs="NoorLotus"/>
          <w:color w:val="E97132" w:themeColor="accent2"/>
          <w:rtl/>
          <w:lang w:bidi="fa-IR"/>
        </w:rPr>
        <w:t>متن عبارت ایشان «سوت الطائف</w:t>
      </w:r>
      <w:r w:rsidRPr="002D2F84">
        <w:rPr>
          <w:rFonts w:ascii="NoorLotus" w:hAnsi="NoorLotus" w:cs="NoorLotus"/>
          <w:color w:val="E97132" w:themeColor="accent2"/>
          <w:rtl/>
        </w:rPr>
        <w:t>ة بين ما يرويه محمد بن أبي عمير</w:t>
      </w:r>
      <w:r w:rsidRPr="002D2F84">
        <w:rPr>
          <w:rFonts w:ascii="NoorLotus" w:hAnsi="NoorLotus" w:cs="NoorLotus"/>
          <w:color w:val="E97132" w:themeColor="accent2"/>
          <w:rtl/>
          <w:lang w:bidi="fa-IR"/>
        </w:rPr>
        <w:t xml:space="preserve"> و صفوان بن يحيى</w:t>
      </w:r>
      <w:r w:rsidRPr="002D2F84">
        <w:rPr>
          <w:rFonts w:ascii="NoorLotus" w:hAnsi="NoorLotus" w:cs="NoorLotus"/>
          <w:color w:val="E97132" w:themeColor="accent2"/>
          <w:rtl/>
        </w:rPr>
        <w:t>، و أحمد بن محمد بن أبي نصر</w:t>
      </w:r>
      <w:r w:rsidRPr="002D2F84">
        <w:rPr>
          <w:rFonts w:ascii="NoorLotus" w:hAnsi="NoorLotus" w:cs="NoorLotus"/>
          <w:color w:val="E97132" w:themeColor="accent2"/>
          <w:rtl/>
          <w:lang w:bidi="fa-IR"/>
        </w:rPr>
        <w:t xml:space="preserve"> و غيرهم من الثقات الذين عرفوا بأنهم لا يروون‏ و لا يرسلون إلا عمن يوثق به و بين ما أسنده غيرهم‏»</w:t>
      </w:r>
    </w:p>
  </w:footnote>
  <w:footnote w:id="4">
    <w:p w14:paraId="166A34B6" w14:textId="7B3DCD78" w:rsidR="00D00FE5" w:rsidRPr="002D2F84" w:rsidRDefault="00D00FE5" w:rsidP="002D2F84">
      <w:pPr>
        <w:pStyle w:val="FootnoteText"/>
        <w:bidi/>
        <w:jc w:val="both"/>
        <w:rPr>
          <w:rFonts w:ascii="NoorLotus" w:hAnsi="NoorLotus" w:cs="NoorLotus"/>
          <w:rtl/>
          <w:lang w:bidi="fa-IR"/>
        </w:rPr>
      </w:pPr>
      <w:r w:rsidRPr="002D2F84">
        <w:rPr>
          <w:rStyle w:val="FootnoteReference"/>
          <w:rFonts w:ascii="NoorLotus" w:hAnsi="NoorLotus" w:cs="NoorLotus"/>
        </w:rPr>
        <w:footnoteRef/>
      </w:r>
      <w:r w:rsidRPr="002D2F84">
        <w:rPr>
          <w:rFonts w:ascii="NoorLotus" w:hAnsi="NoorLotus" w:cs="NoorLotus"/>
        </w:rPr>
        <w:t xml:space="preserve"> </w:t>
      </w:r>
      <w:r w:rsidRPr="002D2F84">
        <w:rPr>
          <w:rFonts w:ascii="NoorLotus" w:hAnsi="NoorLotus" w:cs="NoorLotus"/>
          <w:rtl/>
          <w:lang w:bidi="fa-IR"/>
        </w:rPr>
        <w:t>رجال النجاشی، ص127.</w:t>
      </w:r>
    </w:p>
  </w:footnote>
  <w:footnote w:id="5">
    <w:p w14:paraId="79553BA2" w14:textId="4916CC58" w:rsidR="00D54C5A" w:rsidRPr="002D2F84" w:rsidRDefault="00D54C5A" w:rsidP="002D2F84">
      <w:pPr>
        <w:pStyle w:val="FootnoteText"/>
        <w:bidi/>
        <w:jc w:val="both"/>
        <w:rPr>
          <w:rFonts w:ascii="NoorLotus" w:hAnsi="NoorLotus" w:cs="NoorLotus"/>
          <w:rtl/>
          <w:lang w:bidi="fa-IR"/>
        </w:rPr>
      </w:pPr>
      <w:r w:rsidRPr="002D2F84">
        <w:rPr>
          <w:rStyle w:val="FootnoteReference"/>
          <w:rFonts w:ascii="NoorLotus" w:hAnsi="NoorLotus" w:cs="NoorLotus"/>
        </w:rPr>
        <w:footnoteRef/>
      </w:r>
      <w:r w:rsidRPr="002D2F84">
        <w:rPr>
          <w:rFonts w:ascii="NoorLotus" w:hAnsi="NoorLotus" w:cs="NoorLotus"/>
          <w:rtl/>
        </w:rPr>
        <w:t>بحوث فی علم الاصول، صدر، محمد باقر، ج5، ص</w:t>
      </w:r>
      <w:r w:rsidRPr="002D2F84">
        <w:rPr>
          <w:rFonts w:ascii="NoorLotus" w:hAnsi="NoorLotus" w:cs="NoorLotus"/>
          <w:rtl/>
          <w:lang w:bidi="fa-IR"/>
        </w:rPr>
        <w:t>96.</w:t>
      </w:r>
    </w:p>
  </w:footnote>
  <w:footnote w:id="6">
    <w:p w14:paraId="57B6BCD5" w14:textId="4601E658" w:rsidR="0095371B" w:rsidRPr="002D2F84" w:rsidRDefault="0095371B" w:rsidP="002D2F84">
      <w:pPr>
        <w:pStyle w:val="FootnoteText"/>
        <w:bidi/>
        <w:jc w:val="both"/>
        <w:rPr>
          <w:rFonts w:ascii="NoorLotus" w:hAnsi="NoorLotus" w:cs="NoorLotus"/>
          <w:rtl/>
          <w:lang w:bidi="fa-IR"/>
        </w:rPr>
      </w:pPr>
      <w:r w:rsidRPr="002D2F84">
        <w:rPr>
          <w:rStyle w:val="FootnoteReference"/>
          <w:rFonts w:ascii="NoorLotus" w:hAnsi="NoorLotus" w:cs="NoorLotus"/>
        </w:rPr>
        <w:footnoteRef/>
      </w:r>
      <w:r w:rsidRPr="002D2F84">
        <w:rPr>
          <w:rFonts w:ascii="NoorLotus" w:hAnsi="NoorLotus" w:cs="NoorLotus"/>
        </w:rPr>
        <w:t xml:space="preserve"> </w:t>
      </w:r>
      <w:r w:rsidRPr="002D2F84">
        <w:rPr>
          <w:rFonts w:ascii="NoorLotus" w:hAnsi="NoorLotus" w:cs="NoorLotus"/>
          <w:rtl/>
          <w:lang w:bidi="fa-IR"/>
        </w:rPr>
        <w:t xml:space="preserve">حدائق الناظرة، </w:t>
      </w:r>
      <w:r w:rsidRPr="002D2F84">
        <w:rPr>
          <w:rFonts w:ascii="NoorLotus" w:hAnsi="NoorLotus" w:cs="NoorLotus"/>
          <w:color w:val="000000"/>
          <w:rtl/>
          <w:lang w:bidi="fa-IR"/>
        </w:rPr>
        <w:t>بحرانى، آل عصفور، يوسف بن احمد بن ابراهيم، ج1، ص46.</w:t>
      </w:r>
    </w:p>
  </w:footnote>
  <w:footnote w:id="7">
    <w:p w14:paraId="3D3A16C2" w14:textId="30D8BE05" w:rsidR="004146B1" w:rsidRPr="002D2F84" w:rsidRDefault="004146B1" w:rsidP="002D2F84">
      <w:pPr>
        <w:pStyle w:val="FootnoteText"/>
        <w:bidi/>
        <w:jc w:val="both"/>
        <w:rPr>
          <w:rFonts w:ascii="NoorLotus" w:hAnsi="NoorLotus" w:cs="NoorLotus"/>
          <w:rtl/>
          <w:lang w:bidi="fa-IR"/>
        </w:rPr>
      </w:pPr>
      <w:r w:rsidRPr="002D2F84">
        <w:rPr>
          <w:rStyle w:val="FootnoteReference"/>
          <w:rFonts w:ascii="NoorLotus" w:hAnsi="NoorLotus" w:cs="NoorLotus"/>
        </w:rPr>
        <w:footnoteRef/>
      </w:r>
      <w:r w:rsidRPr="002D2F84">
        <w:rPr>
          <w:rFonts w:ascii="NoorLotus" w:hAnsi="NoorLotus" w:cs="NoorLotus"/>
        </w:rPr>
        <w:t xml:space="preserve"> </w:t>
      </w:r>
      <w:r w:rsidRPr="002D2F84">
        <w:rPr>
          <w:rFonts w:ascii="NoorLotus" w:hAnsi="NoorLotus" w:cs="NoorLotus"/>
          <w:rtl/>
          <w:lang w:bidi="fa-IR"/>
        </w:rPr>
        <w:t>مستدرک الوسائل، ج17، ص313.</w:t>
      </w:r>
    </w:p>
  </w:footnote>
  <w:footnote w:id="8">
    <w:p w14:paraId="06B70EBA" w14:textId="2E6040E5" w:rsidR="004146B1" w:rsidRPr="002D2F84" w:rsidRDefault="004146B1" w:rsidP="002D2F84">
      <w:pPr>
        <w:pStyle w:val="FootnoteText"/>
        <w:bidi/>
        <w:jc w:val="both"/>
        <w:rPr>
          <w:rFonts w:ascii="NoorLotus" w:hAnsi="NoorLotus" w:cs="NoorLotus"/>
          <w:rtl/>
          <w:lang w:bidi="fa-IR"/>
        </w:rPr>
      </w:pPr>
      <w:r w:rsidRPr="002D2F84">
        <w:rPr>
          <w:rStyle w:val="FootnoteReference"/>
          <w:rFonts w:ascii="NoorLotus" w:hAnsi="NoorLotus" w:cs="NoorLotus"/>
        </w:rPr>
        <w:footnoteRef/>
      </w:r>
      <w:r w:rsidRPr="002D2F84">
        <w:rPr>
          <w:rFonts w:ascii="NoorLotus" w:hAnsi="NoorLotus" w:cs="NoorLotus"/>
        </w:rPr>
        <w:t xml:space="preserve"> </w:t>
      </w:r>
      <w:r w:rsidRPr="002D2F84">
        <w:rPr>
          <w:rFonts w:ascii="NoorLotus" w:hAnsi="NoorLotus" w:cs="NoorLotus"/>
          <w:rtl/>
          <w:lang w:bidi="fa-IR"/>
        </w:rPr>
        <w:t>وسائل الشیعة، ج27، ص167.</w:t>
      </w:r>
    </w:p>
  </w:footnote>
  <w:footnote w:id="9">
    <w:p w14:paraId="32708308" w14:textId="77777777" w:rsidR="00C35496" w:rsidRPr="002D2F84" w:rsidRDefault="00C35496" w:rsidP="002D2F84">
      <w:pPr>
        <w:pStyle w:val="FootnoteText"/>
        <w:bidi/>
        <w:jc w:val="both"/>
        <w:rPr>
          <w:rFonts w:ascii="NoorLotus" w:hAnsi="NoorLotus" w:cs="NoorLotus"/>
          <w:rtl/>
          <w:lang w:bidi="fa-IR"/>
        </w:rPr>
      </w:pPr>
      <w:r w:rsidRPr="002D2F84">
        <w:rPr>
          <w:rStyle w:val="FootnoteReference"/>
          <w:rFonts w:ascii="NoorLotus" w:hAnsi="NoorLotus" w:cs="NoorLotus"/>
        </w:rPr>
        <w:footnoteRef/>
      </w:r>
      <w:r w:rsidRPr="002D2F84">
        <w:rPr>
          <w:rFonts w:ascii="NoorLotus" w:hAnsi="NoorLotus" w:cs="NoorLotus"/>
        </w:rPr>
        <w:t xml:space="preserve"> </w:t>
      </w:r>
      <w:r w:rsidRPr="002D2F84">
        <w:rPr>
          <w:rFonts w:ascii="NoorLotus" w:hAnsi="NoorLotus" w:cs="NoorLotus"/>
          <w:rtl/>
          <w:lang w:bidi="fa-IR"/>
        </w:rPr>
        <w:t>تهذیب الاصول، امام خمینی، روح الله، ج3، ص105.</w:t>
      </w:r>
    </w:p>
  </w:footnote>
  <w:footnote w:id="10">
    <w:p w14:paraId="240947B4" w14:textId="77777777" w:rsidR="00BA68E8" w:rsidRPr="002D2F84" w:rsidRDefault="00BA68E8" w:rsidP="002D2F84">
      <w:pPr>
        <w:pStyle w:val="FootnoteText"/>
        <w:bidi/>
        <w:jc w:val="both"/>
        <w:rPr>
          <w:rFonts w:ascii="NoorLotus" w:hAnsi="NoorLotus" w:cs="NoorLotus"/>
          <w:rtl/>
          <w:lang w:bidi="fa-IR"/>
        </w:rPr>
      </w:pPr>
      <w:r w:rsidRPr="002D2F84">
        <w:rPr>
          <w:rStyle w:val="FootnoteReference"/>
          <w:rFonts w:ascii="NoorLotus" w:hAnsi="NoorLotus" w:cs="NoorLotus"/>
        </w:rPr>
        <w:footnoteRef/>
      </w:r>
      <w:r w:rsidRPr="002D2F84">
        <w:rPr>
          <w:rFonts w:ascii="NoorLotus" w:hAnsi="NoorLotus" w:cs="NoorLotus"/>
        </w:rPr>
        <w:t xml:space="preserve"> </w:t>
      </w:r>
      <w:r w:rsidRPr="002D2F84">
        <w:rPr>
          <w:rFonts w:ascii="NoorLotus" w:hAnsi="NoorLotus" w:cs="NoorLotus"/>
          <w:rtl/>
          <w:lang w:bidi="fa-IR"/>
        </w:rPr>
        <w:t>وسائل الشیعة، شیخ حر عاملی، محمد بن حسن، ج10، ص124، ح2.</w:t>
      </w:r>
    </w:p>
  </w:footnote>
  <w:footnote w:id="11">
    <w:p w14:paraId="7574D7CB" w14:textId="314B6AF9" w:rsidR="00BA68E8" w:rsidRPr="002D2F84" w:rsidRDefault="00BA68E8" w:rsidP="002D2F84">
      <w:pPr>
        <w:pStyle w:val="FootnoteText"/>
        <w:bidi/>
        <w:jc w:val="both"/>
        <w:rPr>
          <w:rFonts w:ascii="NoorLotus" w:hAnsi="NoorLotus" w:cs="NoorLotus"/>
          <w:rtl/>
          <w:lang w:bidi="fa-IR"/>
        </w:rPr>
      </w:pPr>
      <w:r w:rsidRPr="002D2F84">
        <w:rPr>
          <w:rStyle w:val="FootnoteReference"/>
          <w:rFonts w:ascii="NoorLotus" w:hAnsi="NoorLotus" w:cs="NoorLotus"/>
        </w:rPr>
        <w:footnoteRef/>
      </w:r>
      <w:r w:rsidRPr="002D2F84">
        <w:rPr>
          <w:rFonts w:ascii="NoorLotus" w:hAnsi="NoorLotus" w:cs="NoorLotus"/>
        </w:rPr>
        <w:t xml:space="preserve"> </w:t>
      </w:r>
      <w:r w:rsidRPr="002D2F84">
        <w:rPr>
          <w:rFonts w:ascii="NoorLotus" w:hAnsi="NoorLotus" w:cs="NoorLotus"/>
          <w:rtl/>
        </w:rPr>
        <w:t>رجال النجاشی، ص184.</w:t>
      </w:r>
    </w:p>
  </w:footnote>
  <w:footnote w:id="12">
    <w:p w14:paraId="67379BD2" w14:textId="419465EC" w:rsidR="00BA68E8" w:rsidRPr="002D2F84" w:rsidRDefault="00BA68E8" w:rsidP="002D2F84">
      <w:pPr>
        <w:pStyle w:val="FootnoteText"/>
        <w:bidi/>
        <w:jc w:val="both"/>
        <w:rPr>
          <w:rFonts w:ascii="NoorLotus" w:hAnsi="NoorLotus" w:cs="NoorLotus"/>
          <w:rtl/>
          <w:lang w:bidi="fa-IR"/>
        </w:rPr>
      </w:pPr>
      <w:r w:rsidRPr="002D2F84">
        <w:rPr>
          <w:rStyle w:val="FootnoteReference"/>
          <w:rFonts w:ascii="NoorLotus" w:hAnsi="NoorLotus" w:cs="NoorLotus"/>
        </w:rPr>
        <w:footnoteRef/>
      </w:r>
      <w:r w:rsidRPr="002D2F84">
        <w:rPr>
          <w:rFonts w:ascii="NoorLotus" w:hAnsi="NoorLotus" w:cs="NoorLotus"/>
        </w:rPr>
        <w:t xml:space="preserve"> </w:t>
      </w:r>
      <w:r w:rsidRPr="002D2F84">
        <w:rPr>
          <w:rFonts w:ascii="NoorLotus" w:hAnsi="NoorLotus" w:cs="NoorLotus"/>
          <w:rtl/>
        </w:rPr>
        <w:t>ترتيب خلاصة الأقوال في معرفة الرجال، ص: 225.</w:t>
      </w:r>
    </w:p>
  </w:footnote>
  <w:footnote w:id="13">
    <w:p w14:paraId="7374A92C" w14:textId="631EA938" w:rsidR="00B86C1E" w:rsidRPr="002D2F84" w:rsidRDefault="00B86C1E" w:rsidP="002D2F84">
      <w:pPr>
        <w:pStyle w:val="FootnoteText"/>
        <w:bidi/>
        <w:jc w:val="both"/>
        <w:rPr>
          <w:rFonts w:ascii="NoorLotus" w:hAnsi="NoorLotus" w:cs="NoorLotus"/>
          <w:rtl/>
          <w:lang w:bidi="fa-IR"/>
        </w:rPr>
      </w:pPr>
      <w:r w:rsidRPr="002D2F84">
        <w:rPr>
          <w:rStyle w:val="FootnoteReference"/>
          <w:rFonts w:ascii="NoorLotus" w:hAnsi="NoorLotus" w:cs="NoorLotus"/>
        </w:rPr>
        <w:footnoteRef/>
      </w:r>
      <w:r w:rsidRPr="002D2F84">
        <w:rPr>
          <w:rFonts w:ascii="NoorLotus" w:hAnsi="NoorLotus" w:cs="NoorLotus"/>
        </w:rPr>
        <w:t xml:space="preserve"> </w:t>
      </w:r>
      <w:r w:rsidRPr="002D2F84">
        <w:rPr>
          <w:rFonts w:ascii="NoorLotus" w:hAnsi="NoorLotus" w:cs="NoorLotus"/>
          <w:rtl/>
          <w:lang w:bidi="fa-IR"/>
        </w:rPr>
        <w:t>الفهرست، طوسی، محمد بن حسن، ص2.</w:t>
      </w:r>
    </w:p>
  </w:footnote>
  <w:footnote w:id="14">
    <w:p w14:paraId="3586B42F" w14:textId="03E90CB0" w:rsidR="0010498B" w:rsidRPr="002D2F84" w:rsidRDefault="0010498B" w:rsidP="002D2F84">
      <w:pPr>
        <w:pStyle w:val="FootnoteText"/>
        <w:bidi/>
        <w:jc w:val="both"/>
        <w:rPr>
          <w:rFonts w:ascii="NoorLotus" w:hAnsi="NoorLotus" w:cs="NoorLotus"/>
          <w:rtl/>
          <w:lang w:bidi="fa-IR"/>
        </w:rPr>
      </w:pPr>
      <w:r w:rsidRPr="002D2F84">
        <w:rPr>
          <w:rStyle w:val="FootnoteReference"/>
          <w:rFonts w:ascii="NoorLotus" w:hAnsi="NoorLotus" w:cs="NoorLotus"/>
        </w:rPr>
        <w:footnoteRef/>
      </w:r>
      <w:r w:rsidRPr="002D2F84">
        <w:rPr>
          <w:rFonts w:ascii="NoorLotus" w:hAnsi="NoorLotus" w:cs="NoorLotus"/>
        </w:rPr>
        <w:t xml:space="preserve"> </w:t>
      </w:r>
      <w:r w:rsidR="00AD1540" w:rsidRPr="002D2F84">
        <w:rPr>
          <w:rFonts w:ascii="NoorLotus" w:hAnsi="NoorLotus" w:cs="NoorLotus"/>
          <w:rtl/>
          <w:lang w:bidi="fa-IR"/>
        </w:rPr>
        <w:t xml:space="preserve">وسائل الشیعة، شیخ حر عاملی، محمد بن حسن، </w:t>
      </w:r>
      <w:r w:rsidRPr="002D2F84">
        <w:rPr>
          <w:rFonts w:ascii="NoorLotus" w:hAnsi="NoorLotus" w:cs="NoorLotus"/>
          <w:rtl/>
          <w:lang w:bidi="fa-IR"/>
        </w:rPr>
        <w:t>ج6، ص362، ح8.</w:t>
      </w:r>
    </w:p>
  </w:footnote>
  <w:footnote w:id="15">
    <w:p w14:paraId="2633511D" w14:textId="77777777" w:rsidR="0010498B" w:rsidRPr="002D2F84" w:rsidRDefault="0010498B" w:rsidP="002D2F84">
      <w:pPr>
        <w:pStyle w:val="FootnoteText"/>
        <w:bidi/>
        <w:jc w:val="both"/>
        <w:rPr>
          <w:rFonts w:ascii="NoorLotus" w:hAnsi="NoorLotus" w:cs="NoorLotus"/>
          <w:rtl/>
          <w:lang w:bidi="fa-IR"/>
        </w:rPr>
      </w:pPr>
      <w:r w:rsidRPr="002D2F84">
        <w:rPr>
          <w:rStyle w:val="FootnoteReference"/>
          <w:rFonts w:ascii="NoorLotus" w:hAnsi="NoorLotus" w:cs="NoorLotus"/>
        </w:rPr>
        <w:footnoteRef/>
      </w:r>
      <w:r w:rsidRPr="002D2F84">
        <w:rPr>
          <w:rFonts w:ascii="NoorLotus" w:hAnsi="NoorLotus" w:cs="NoorLotus"/>
        </w:rPr>
        <w:t xml:space="preserve"> </w:t>
      </w:r>
      <w:r w:rsidRPr="002D2F84">
        <w:rPr>
          <w:rFonts w:ascii="NoorLotus" w:hAnsi="NoorLotus" w:cs="NoorLotus"/>
          <w:rtl/>
          <w:lang w:bidi="fa-IR"/>
        </w:rPr>
        <w:t>همان، ج27، ص167.</w:t>
      </w:r>
    </w:p>
  </w:footnote>
  <w:footnote w:id="16">
    <w:p w14:paraId="50609ABC" w14:textId="4FAA9AB8" w:rsidR="006C0023" w:rsidRPr="002D2F84" w:rsidRDefault="006C0023" w:rsidP="002D2F84">
      <w:pPr>
        <w:pStyle w:val="NoSpacing"/>
        <w:jc w:val="both"/>
        <w:rPr>
          <w:color w:val="FF0000"/>
          <w:rtl/>
        </w:rPr>
      </w:pPr>
      <w:r w:rsidRPr="002D2F84">
        <w:rPr>
          <w:rStyle w:val="FootnoteReference"/>
        </w:rPr>
        <w:footnoteRef/>
      </w:r>
      <w:r w:rsidRPr="002D2F84">
        <w:t xml:space="preserve"> </w:t>
      </w:r>
      <w:r w:rsidR="00C62D7A" w:rsidRPr="002D2F84">
        <w:rPr>
          <w:sz w:val="20"/>
          <w:szCs w:val="20"/>
          <w:rtl/>
        </w:rPr>
        <w:t>فرائد الاصول (طبع انتشارات اسلامی)، انصاری، مرتضی بن محمد امین، ج1، ص349.</w:t>
      </w:r>
      <w:r w:rsidR="00B76EA5" w:rsidRPr="002D2F84">
        <w:rPr>
          <w:sz w:val="20"/>
          <w:szCs w:val="20"/>
          <w:rtl/>
        </w:rPr>
        <w:t xml:space="preserve"> عبارت ایشان: </w:t>
      </w:r>
      <w:r w:rsidR="00B76EA5" w:rsidRPr="002D2F84">
        <w:rPr>
          <w:color w:val="FF0000"/>
          <w:sz w:val="20"/>
          <w:szCs w:val="20"/>
          <w:rtl/>
        </w:rPr>
        <w:t>«و أما عن رواية الأمالي فبعدم دلالتها على الوجوب للزوم إخراج أكثر موارد الشبهة و هي الشبهة الموضوعية مطلقا و الحكمية الوجوبية و الحمل على الاستحباب أيضا مستلزم لإخراج موارد وجوب الاحتياط فتحمل على الإرشاد أو على الطلب المشترك بين الوجوب و الندب.</w:t>
      </w:r>
      <w:r w:rsidR="000428DF" w:rsidRPr="002D2F84">
        <w:rPr>
          <w:color w:val="FF0000"/>
          <w:sz w:val="20"/>
          <w:szCs w:val="20"/>
          <w:rtl/>
        </w:rPr>
        <w:t xml:space="preserve"> </w:t>
      </w:r>
      <w:r w:rsidR="00B76EA5" w:rsidRPr="002D2F84">
        <w:rPr>
          <w:color w:val="FF0000"/>
          <w:sz w:val="20"/>
          <w:szCs w:val="20"/>
          <w:rtl/>
        </w:rPr>
        <w:t>و حينئذ فلا ينافي لزومه في بعض الموارد و عدم لزومه في بعض آخر لأن تأكد الطلب الإرشادي و عدمه بحسب المصلحة الموجودة في الفعل لأن الاحتياط هو الاحتراز عن موارد احتمال المضرة فيختلف رضاء المرشد بتركه و عدم رضاه بحسب مراتب المضرة كما أن الأمر في الأوامر الواردة في إطاعة الله و رسوله للإرشاد المشترك بين فعل الواجبات و فعل المندوبات هذا. و الذي يقتضيه دقيق النظر أن الأمر المذكور بالاحتياط لخصوص الطلب الغير الإلزامي لأن المقصود منه بيان أعلى مراتب الاحتياط لا جميع مراتبه و لا المقدار الواجب.»</w:t>
      </w:r>
    </w:p>
  </w:footnote>
  <w:footnote w:id="17">
    <w:p w14:paraId="1A46146F" w14:textId="7CB91475" w:rsidR="00AF08DF" w:rsidRPr="002D2F84" w:rsidRDefault="00AF08DF" w:rsidP="002D2F84">
      <w:pPr>
        <w:pStyle w:val="FootnoteText"/>
        <w:bidi/>
        <w:jc w:val="both"/>
        <w:rPr>
          <w:rFonts w:ascii="NoorLotus" w:hAnsi="NoorLotus" w:cs="NoorLotus"/>
          <w:rtl/>
          <w:lang w:bidi="fa-IR"/>
        </w:rPr>
      </w:pPr>
      <w:r w:rsidRPr="002D2F84">
        <w:rPr>
          <w:rStyle w:val="FootnoteReference"/>
          <w:rFonts w:ascii="NoorLotus" w:hAnsi="NoorLotus" w:cs="NoorLotus"/>
        </w:rPr>
        <w:footnoteRef/>
      </w:r>
      <w:r w:rsidRPr="002D2F84">
        <w:rPr>
          <w:rFonts w:ascii="NoorLotus" w:hAnsi="NoorLotus" w:cs="NoorLotus"/>
        </w:rPr>
        <w:t xml:space="preserve"> </w:t>
      </w:r>
      <w:r w:rsidR="00AD1540" w:rsidRPr="002D2F84">
        <w:rPr>
          <w:rFonts w:ascii="NoorLotus" w:hAnsi="NoorLotus" w:cs="NoorLotus"/>
          <w:rtl/>
          <w:lang w:bidi="fa-IR"/>
        </w:rPr>
        <w:t>وسائل الشیعة، شیخ حر عاملی، محمد بن حسن، ج13، ص46، ح6.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D90156" w14:textId="77777777" w:rsidR="00D26FA9" w:rsidRDefault="00D26FA9" w:rsidP="007F1053">
    <w:pPr>
      <w:pStyle w:val="Header"/>
    </w:pPr>
  </w:p>
  <w:p w14:paraId="30151B6E" w14:textId="77777777" w:rsidR="00D26FA9" w:rsidRDefault="00D26FA9" w:rsidP="007F1053"/>
  <w:p w14:paraId="34CA26F9" w14:textId="77777777" w:rsidR="00D26FA9" w:rsidRDefault="00D26FA9"/>
  <w:p w14:paraId="4A45FA65" w14:textId="77777777" w:rsidR="00D26FA9" w:rsidRDefault="00D26FA9"/>
  <w:p w14:paraId="79A3C9A8" w14:textId="77777777" w:rsidR="00D26FA9" w:rsidRDefault="00D26FA9" w:rsidP="007F105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833AD7" w14:textId="018C3177" w:rsidR="00D26FA9" w:rsidRPr="009E10DD" w:rsidRDefault="00FA168D" w:rsidP="00DF4ADB">
    <w:pPr>
      <w:pStyle w:val="Header"/>
      <w:pBdr>
        <w:top w:val="double" w:sz="4" w:space="1" w:color="auto"/>
        <w:left w:val="double" w:sz="4" w:space="4" w:color="auto"/>
        <w:bottom w:val="double" w:sz="4" w:space="4" w:color="auto"/>
        <w:right w:val="double" w:sz="4" w:space="4" w:color="auto"/>
      </w:pBdr>
      <w:tabs>
        <w:tab w:val="left" w:pos="720"/>
        <w:tab w:val="left" w:pos="4095"/>
      </w:tabs>
      <w:jc w:val="both"/>
      <w:rPr>
        <w:b w:val="0"/>
        <w:bCs w:val="0"/>
        <w:sz w:val="20"/>
        <w:szCs w:val="24"/>
      </w:rPr>
    </w:pPr>
    <w:r>
      <w:rPr>
        <w:rFonts w:hint="cs"/>
        <w:sz w:val="18"/>
        <w:szCs w:val="18"/>
        <w:rtl/>
      </w:rPr>
      <w:t>درس خارج اصول استاد شهیدی حفظه الله (دوره سوم، سال ششم)</w:t>
    </w:r>
    <w:r>
      <w:rPr>
        <w:rFonts w:hint="cs"/>
        <w:sz w:val="18"/>
        <w:szCs w:val="18"/>
        <w:rtl/>
      </w:rPr>
      <w:tab/>
    </w:r>
    <w:r>
      <w:rPr>
        <w:rFonts w:hint="cs"/>
        <w:sz w:val="18"/>
        <w:szCs w:val="18"/>
        <w:rtl/>
      </w:rPr>
      <w:tab/>
    </w:r>
    <w:r>
      <w:rPr>
        <w:rFonts w:hint="cs"/>
        <w:sz w:val="18"/>
        <w:szCs w:val="18"/>
        <w:rtl/>
      </w:rPr>
      <w:tab/>
      <w:t>جلسه:</w:t>
    </w:r>
    <w:r w:rsidR="00976D7E">
      <w:rPr>
        <w:rFonts w:hint="cs"/>
        <w:sz w:val="18"/>
        <w:szCs w:val="18"/>
        <w:rtl/>
      </w:rPr>
      <w:t>62</w:t>
    </w:r>
    <w:r>
      <w:rPr>
        <w:sz w:val="18"/>
        <w:szCs w:val="18"/>
        <w:rtl/>
      </w:rPr>
      <w:t>(تاری</w:t>
    </w:r>
    <w:r>
      <w:rPr>
        <w:rFonts w:hint="cs"/>
        <w:sz w:val="18"/>
        <w:szCs w:val="18"/>
        <w:rtl/>
      </w:rPr>
      <w:t>خ:</w:t>
    </w:r>
    <w:r w:rsidR="00976D7E">
      <w:rPr>
        <w:rFonts w:hint="cs"/>
        <w:sz w:val="18"/>
        <w:szCs w:val="18"/>
        <w:rtl/>
      </w:rPr>
      <w:t>27</w:t>
    </w:r>
    <w:r>
      <w:rPr>
        <w:rFonts w:hint="cs"/>
        <w:sz w:val="18"/>
        <w:szCs w:val="18"/>
        <w:rtl/>
      </w:rPr>
      <w:t>/09</w:t>
    </w:r>
    <w:r>
      <w:rPr>
        <w:sz w:val="18"/>
        <w:szCs w:val="18"/>
        <w:rtl/>
      </w:rPr>
      <w:t>/</w:t>
    </w:r>
    <w:r>
      <w:rPr>
        <w:rFonts w:hint="cs"/>
        <w:sz w:val="18"/>
        <w:szCs w:val="18"/>
        <w:rtl/>
      </w:rPr>
      <w:t>1403</w:t>
    </w:r>
    <w:r>
      <w:rPr>
        <w:sz w:val="18"/>
        <w:szCs w:val="18"/>
        <w:rtl/>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774103" w14:textId="77777777" w:rsidR="00B42957" w:rsidRDefault="00B4295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D7E"/>
    <w:rsid w:val="00000637"/>
    <w:rsid w:val="00021AE0"/>
    <w:rsid w:val="00040E57"/>
    <w:rsid w:val="000428DF"/>
    <w:rsid w:val="00053912"/>
    <w:rsid w:val="00095312"/>
    <w:rsid w:val="000A6EBA"/>
    <w:rsid w:val="000A7B16"/>
    <w:rsid w:val="000D3624"/>
    <w:rsid w:val="00100BB0"/>
    <w:rsid w:val="0010498B"/>
    <w:rsid w:val="00144A72"/>
    <w:rsid w:val="00176B1E"/>
    <w:rsid w:val="00180AC7"/>
    <w:rsid w:val="001F4628"/>
    <w:rsid w:val="00262C64"/>
    <w:rsid w:val="002655C5"/>
    <w:rsid w:val="00270A22"/>
    <w:rsid w:val="00282A3E"/>
    <w:rsid w:val="002D2F84"/>
    <w:rsid w:val="003144FF"/>
    <w:rsid w:val="00386554"/>
    <w:rsid w:val="003A0740"/>
    <w:rsid w:val="003D2715"/>
    <w:rsid w:val="003F3FC2"/>
    <w:rsid w:val="004146B1"/>
    <w:rsid w:val="00431FE7"/>
    <w:rsid w:val="0045505A"/>
    <w:rsid w:val="004604E7"/>
    <w:rsid w:val="004857EE"/>
    <w:rsid w:val="00495DA2"/>
    <w:rsid w:val="004A4B80"/>
    <w:rsid w:val="004D1E76"/>
    <w:rsid w:val="004E0340"/>
    <w:rsid w:val="00514C4B"/>
    <w:rsid w:val="00561BBC"/>
    <w:rsid w:val="00590A74"/>
    <w:rsid w:val="005C6617"/>
    <w:rsid w:val="005E394A"/>
    <w:rsid w:val="00603C7F"/>
    <w:rsid w:val="00606AF9"/>
    <w:rsid w:val="00606B2F"/>
    <w:rsid w:val="006247B2"/>
    <w:rsid w:val="00631A78"/>
    <w:rsid w:val="006507C1"/>
    <w:rsid w:val="006C0023"/>
    <w:rsid w:val="0072240C"/>
    <w:rsid w:val="00736811"/>
    <w:rsid w:val="00741820"/>
    <w:rsid w:val="00783DDB"/>
    <w:rsid w:val="0079345E"/>
    <w:rsid w:val="0080541F"/>
    <w:rsid w:val="00811695"/>
    <w:rsid w:val="00852A3B"/>
    <w:rsid w:val="008712D4"/>
    <w:rsid w:val="00871CF6"/>
    <w:rsid w:val="0087547C"/>
    <w:rsid w:val="008A15F9"/>
    <w:rsid w:val="008C47EB"/>
    <w:rsid w:val="00936705"/>
    <w:rsid w:val="0095371B"/>
    <w:rsid w:val="009606B3"/>
    <w:rsid w:val="00961690"/>
    <w:rsid w:val="00976D7E"/>
    <w:rsid w:val="00977F2A"/>
    <w:rsid w:val="009871E0"/>
    <w:rsid w:val="00A51DD9"/>
    <w:rsid w:val="00A525EB"/>
    <w:rsid w:val="00A52EDA"/>
    <w:rsid w:val="00A94500"/>
    <w:rsid w:val="00AD1540"/>
    <w:rsid w:val="00AE0FCF"/>
    <w:rsid w:val="00AE159E"/>
    <w:rsid w:val="00AF08DF"/>
    <w:rsid w:val="00B1177D"/>
    <w:rsid w:val="00B26F3F"/>
    <w:rsid w:val="00B42957"/>
    <w:rsid w:val="00B449C5"/>
    <w:rsid w:val="00B479A6"/>
    <w:rsid w:val="00B76EA5"/>
    <w:rsid w:val="00B86C1E"/>
    <w:rsid w:val="00B949DC"/>
    <w:rsid w:val="00BA1B63"/>
    <w:rsid w:val="00BA68E8"/>
    <w:rsid w:val="00BB00F2"/>
    <w:rsid w:val="00BC4C29"/>
    <w:rsid w:val="00BE33CF"/>
    <w:rsid w:val="00C00D03"/>
    <w:rsid w:val="00C35496"/>
    <w:rsid w:val="00C47D45"/>
    <w:rsid w:val="00C52E0F"/>
    <w:rsid w:val="00C62D7A"/>
    <w:rsid w:val="00C97A21"/>
    <w:rsid w:val="00CE595B"/>
    <w:rsid w:val="00D00FE5"/>
    <w:rsid w:val="00D03C99"/>
    <w:rsid w:val="00D26FA9"/>
    <w:rsid w:val="00D41105"/>
    <w:rsid w:val="00D50B47"/>
    <w:rsid w:val="00D5411E"/>
    <w:rsid w:val="00D54C5A"/>
    <w:rsid w:val="00D7299F"/>
    <w:rsid w:val="00D85BEB"/>
    <w:rsid w:val="00D9461D"/>
    <w:rsid w:val="00D96BE3"/>
    <w:rsid w:val="00DB10ED"/>
    <w:rsid w:val="00DD22B0"/>
    <w:rsid w:val="00DE0DC4"/>
    <w:rsid w:val="00E40F73"/>
    <w:rsid w:val="00E52713"/>
    <w:rsid w:val="00E55830"/>
    <w:rsid w:val="00E63096"/>
    <w:rsid w:val="00E97724"/>
    <w:rsid w:val="00EB71E4"/>
    <w:rsid w:val="00EC466F"/>
    <w:rsid w:val="00EC7939"/>
    <w:rsid w:val="00EE1D61"/>
    <w:rsid w:val="00EE727D"/>
    <w:rsid w:val="00F8796A"/>
    <w:rsid w:val="00FA168D"/>
    <w:rsid w:val="00FA1AA9"/>
    <w:rsid w:val="00FD1B34"/>
    <w:rsid w:val="00FE6C2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723EB"/>
  <w15:docId w15:val="{2ECF5F54-379C-49FF-87F6-3C43CE239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US" w:eastAsia="en-US" w:bidi="fa-IR"/>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6D7E"/>
    <w:pPr>
      <w:bidi/>
      <w:spacing w:after="200" w:line="276" w:lineRule="auto"/>
    </w:pPr>
    <w:rPr>
      <w:rFonts w:cs="B Badr"/>
      <w:kern w:val="0"/>
      <w:sz w:val="22"/>
      <w:szCs w:val="28"/>
      <w14:ligatures w14:val="none"/>
    </w:rPr>
  </w:style>
  <w:style w:type="paragraph" w:styleId="Heading1">
    <w:name w:val="heading 1"/>
    <w:basedOn w:val="Normal"/>
    <w:next w:val="Normal"/>
    <w:link w:val="Heading1Char"/>
    <w:uiPriority w:val="9"/>
    <w:qFormat/>
    <w:rsid w:val="002D2F84"/>
    <w:pPr>
      <w:keepNext/>
      <w:keepLines/>
      <w:spacing w:after="0" w:line="240" w:lineRule="auto"/>
      <w:outlineLvl w:val="0"/>
    </w:pPr>
    <w:rPr>
      <w:rFonts w:ascii="NoorLotus" w:eastAsiaTheme="majorEastAsia" w:hAnsi="NoorLotus" w:cs="NoorLotus"/>
      <w:b/>
      <w:bCs/>
      <w:kern w:val="2"/>
      <w:sz w:val="28"/>
      <w14:ligatures w14:val="standardContextual"/>
    </w:rPr>
  </w:style>
  <w:style w:type="paragraph" w:styleId="Heading2">
    <w:name w:val="heading 2"/>
    <w:basedOn w:val="Normal"/>
    <w:next w:val="Normal"/>
    <w:link w:val="Heading2Char"/>
    <w:uiPriority w:val="9"/>
    <w:unhideWhenUsed/>
    <w:qFormat/>
    <w:rsid w:val="002D2F84"/>
    <w:pPr>
      <w:keepNext/>
      <w:keepLines/>
      <w:spacing w:before="160" w:after="80" w:line="278" w:lineRule="auto"/>
      <w:outlineLvl w:val="1"/>
    </w:pPr>
    <w:rPr>
      <w:rFonts w:ascii="NoorLotus" w:eastAsiaTheme="majorEastAsia" w:hAnsi="NoorLotus" w:cs="NoorLotus"/>
      <w:bCs/>
      <w:kern w:val="2"/>
      <w:sz w:val="28"/>
      <w14:ligatures w14:val="standardContextual"/>
    </w:rPr>
  </w:style>
  <w:style w:type="paragraph" w:styleId="Heading3">
    <w:name w:val="heading 3"/>
    <w:basedOn w:val="Normal"/>
    <w:next w:val="Normal"/>
    <w:link w:val="Heading3Char"/>
    <w:uiPriority w:val="9"/>
    <w:unhideWhenUsed/>
    <w:qFormat/>
    <w:rsid w:val="00D5411E"/>
    <w:pPr>
      <w:keepNext/>
      <w:keepLines/>
      <w:spacing w:before="160" w:after="80" w:line="278" w:lineRule="auto"/>
      <w:outlineLvl w:val="2"/>
    </w:pPr>
    <w:rPr>
      <w:rFonts w:eastAsiaTheme="majorEastAsia" w:cs="NoorLotus"/>
      <w:bCs/>
      <w:kern w:val="2"/>
      <w:sz w:val="28"/>
      <w14:ligatures w14:val="standardContextual"/>
    </w:rPr>
  </w:style>
  <w:style w:type="paragraph" w:styleId="Heading4">
    <w:name w:val="heading 4"/>
    <w:basedOn w:val="Normal"/>
    <w:next w:val="Normal"/>
    <w:link w:val="Heading4Char"/>
    <w:uiPriority w:val="9"/>
    <w:semiHidden/>
    <w:unhideWhenUsed/>
    <w:qFormat/>
    <w:rsid w:val="00976D7E"/>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976D7E"/>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976D7E"/>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976D7E"/>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976D7E"/>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976D7E"/>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2F84"/>
    <w:rPr>
      <w:rFonts w:ascii="NoorLotus" w:eastAsiaTheme="majorEastAsia" w:hAnsi="NoorLotus" w:cs="NoorLotus"/>
      <w:b/>
      <w:bCs/>
      <w:sz w:val="28"/>
      <w:szCs w:val="28"/>
    </w:rPr>
  </w:style>
  <w:style w:type="character" w:customStyle="1" w:styleId="Heading2Char">
    <w:name w:val="Heading 2 Char"/>
    <w:basedOn w:val="DefaultParagraphFont"/>
    <w:link w:val="Heading2"/>
    <w:uiPriority w:val="9"/>
    <w:rsid w:val="002D2F84"/>
    <w:rPr>
      <w:rFonts w:ascii="NoorLotus" w:eastAsiaTheme="majorEastAsia" w:hAnsi="NoorLotus" w:cs="NoorLotus"/>
      <w:bCs/>
      <w:sz w:val="28"/>
      <w:szCs w:val="28"/>
    </w:rPr>
  </w:style>
  <w:style w:type="character" w:customStyle="1" w:styleId="Heading3Char">
    <w:name w:val="Heading 3 Char"/>
    <w:basedOn w:val="DefaultParagraphFont"/>
    <w:link w:val="Heading3"/>
    <w:uiPriority w:val="9"/>
    <w:rsid w:val="00D5411E"/>
    <w:rPr>
      <w:rFonts w:eastAsiaTheme="majorEastAsia" w:cs="NoorLotus"/>
      <w:bCs/>
      <w:sz w:val="28"/>
      <w:szCs w:val="28"/>
    </w:rPr>
  </w:style>
  <w:style w:type="character" w:customStyle="1" w:styleId="Heading4Char">
    <w:name w:val="Heading 4 Char"/>
    <w:basedOn w:val="DefaultParagraphFont"/>
    <w:link w:val="Heading4"/>
    <w:uiPriority w:val="9"/>
    <w:semiHidden/>
    <w:rsid w:val="00976D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76D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76D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6D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6D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6D7E"/>
    <w:rPr>
      <w:rFonts w:eastAsiaTheme="majorEastAsia" w:cstheme="majorBidi"/>
      <w:color w:val="272727" w:themeColor="text1" w:themeTint="D8"/>
    </w:rPr>
  </w:style>
  <w:style w:type="paragraph" w:styleId="Title">
    <w:name w:val="Title"/>
    <w:basedOn w:val="Normal"/>
    <w:next w:val="Normal"/>
    <w:link w:val="TitleChar"/>
    <w:uiPriority w:val="10"/>
    <w:qFormat/>
    <w:rsid w:val="00976D7E"/>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976D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6D7E"/>
    <w:pPr>
      <w:numPr>
        <w:ilvl w:val="1"/>
      </w:numPr>
      <w:spacing w:after="160" w:line="278" w:lineRule="auto"/>
    </w:pPr>
    <w:rPr>
      <w:rFonts w:eastAsiaTheme="majorEastAsia" w:cstheme="majorBidi"/>
      <w:color w:val="595959" w:themeColor="text1" w:themeTint="A6"/>
      <w:spacing w:val="15"/>
      <w:kern w:val="2"/>
      <w:sz w:val="28"/>
      <w14:ligatures w14:val="standardContextual"/>
    </w:rPr>
  </w:style>
  <w:style w:type="character" w:customStyle="1" w:styleId="SubtitleChar">
    <w:name w:val="Subtitle Char"/>
    <w:basedOn w:val="DefaultParagraphFont"/>
    <w:link w:val="Subtitle"/>
    <w:uiPriority w:val="11"/>
    <w:rsid w:val="00976D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6D7E"/>
    <w:pPr>
      <w:spacing w:before="160" w:after="160" w:line="278" w:lineRule="auto"/>
      <w:jc w:val="center"/>
    </w:pPr>
    <w:rPr>
      <w:rFonts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976D7E"/>
    <w:rPr>
      <w:i/>
      <w:iCs/>
      <w:color w:val="404040" w:themeColor="text1" w:themeTint="BF"/>
    </w:rPr>
  </w:style>
  <w:style w:type="paragraph" w:styleId="ListParagraph">
    <w:name w:val="List Paragraph"/>
    <w:basedOn w:val="Normal"/>
    <w:uiPriority w:val="34"/>
    <w:qFormat/>
    <w:rsid w:val="00976D7E"/>
    <w:pPr>
      <w:spacing w:after="160" w:line="278" w:lineRule="auto"/>
      <w:ind w:left="720"/>
      <w:contextualSpacing/>
    </w:pPr>
    <w:rPr>
      <w:rFonts w:cstheme="minorBidi"/>
      <w:kern w:val="2"/>
      <w:sz w:val="24"/>
      <w:szCs w:val="24"/>
      <w14:ligatures w14:val="standardContextual"/>
    </w:rPr>
  </w:style>
  <w:style w:type="character" w:styleId="IntenseEmphasis">
    <w:name w:val="Intense Emphasis"/>
    <w:basedOn w:val="DefaultParagraphFont"/>
    <w:uiPriority w:val="21"/>
    <w:qFormat/>
    <w:rsid w:val="00976D7E"/>
    <w:rPr>
      <w:i/>
      <w:iCs/>
      <w:color w:val="0F4761" w:themeColor="accent1" w:themeShade="BF"/>
    </w:rPr>
  </w:style>
  <w:style w:type="paragraph" w:styleId="IntenseQuote">
    <w:name w:val="Intense Quote"/>
    <w:basedOn w:val="Normal"/>
    <w:next w:val="Normal"/>
    <w:link w:val="IntenseQuoteChar"/>
    <w:uiPriority w:val="30"/>
    <w:qFormat/>
    <w:rsid w:val="00976D7E"/>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976D7E"/>
    <w:rPr>
      <w:i/>
      <w:iCs/>
      <w:color w:val="0F4761" w:themeColor="accent1" w:themeShade="BF"/>
    </w:rPr>
  </w:style>
  <w:style w:type="character" w:styleId="IntenseReference">
    <w:name w:val="Intense Reference"/>
    <w:basedOn w:val="DefaultParagraphFont"/>
    <w:uiPriority w:val="32"/>
    <w:qFormat/>
    <w:rsid w:val="00976D7E"/>
    <w:rPr>
      <w:b/>
      <w:bCs/>
      <w:smallCaps/>
      <w:color w:val="0F4761" w:themeColor="accent1" w:themeShade="BF"/>
      <w:spacing w:val="5"/>
    </w:rPr>
  </w:style>
  <w:style w:type="paragraph" w:styleId="NoSpacing">
    <w:name w:val="No Spacing"/>
    <w:basedOn w:val="Normal"/>
    <w:uiPriority w:val="1"/>
    <w:qFormat/>
    <w:rsid w:val="00976D7E"/>
    <w:pPr>
      <w:spacing w:line="240" w:lineRule="auto"/>
    </w:pPr>
    <w:rPr>
      <w:rFonts w:ascii="NoorLotus" w:hAnsi="NoorLotus" w:cs="NoorLotus"/>
    </w:rPr>
  </w:style>
  <w:style w:type="paragraph" w:styleId="Header">
    <w:name w:val="header"/>
    <w:basedOn w:val="Normal"/>
    <w:link w:val="HeaderChar"/>
    <w:uiPriority w:val="99"/>
    <w:unhideWhenUsed/>
    <w:rsid w:val="00976D7E"/>
    <w:pPr>
      <w:tabs>
        <w:tab w:val="center" w:pos="4680"/>
        <w:tab w:val="right" w:pos="9360"/>
      </w:tabs>
      <w:spacing w:after="0" w:line="240" w:lineRule="auto"/>
      <w:jc w:val="right"/>
    </w:pPr>
    <w:rPr>
      <w:rFonts w:ascii="NoorLotus" w:eastAsia="Calibri" w:hAnsi="NoorLotus" w:cs="NoorLotus"/>
      <w:b/>
      <w:bCs/>
      <w:sz w:val="28"/>
    </w:rPr>
  </w:style>
  <w:style w:type="character" w:customStyle="1" w:styleId="HeaderChar">
    <w:name w:val="Header Char"/>
    <w:basedOn w:val="DefaultParagraphFont"/>
    <w:link w:val="Header"/>
    <w:uiPriority w:val="99"/>
    <w:rsid w:val="00976D7E"/>
    <w:rPr>
      <w:rFonts w:ascii="NoorLotus" w:eastAsia="Calibri" w:hAnsi="NoorLotus" w:cs="NoorLotus"/>
      <w:b/>
      <w:bCs/>
      <w:kern w:val="0"/>
      <w:sz w:val="28"/>
      <w:szCs w:val="28"/>
      <w14:ligatures w14:val="none"/>
    </w:rPr>
  </w:style>
  <w:style w:type="paragraph" w:styleId="Footer">
    <w:name w:val="footer"/>
    <w:basedOn w:val="Normal"/>
    <w:link w:val="FooterChar"/>
    <w:uiPriority w:val="99"/>
    <w:unhideWhenUsed/>
    <w:rsid w:val="00976D7E"/>
    <w:pPr>
      <w:tabs>
        <w:tab w:val="center" w:pos="4680"/>
        <w:tab w:val="right" w:pos="9360"/>
      </w:tabs>
      <w:spacing w:after="0" w:line="240" w:lineRule="auto"/>
      <w:jc w:val="right"/>
    </w:pPr>
    <w:rPr>
      <w:rFonts w:ascii="NoorLotus" w:eastAsia="Calibri" w:hAnsi="NoorLotus" w:cs="NoorLotus"/>
      <w:b/>
      <w:bCs/>
      <w:sz w:val="28"/>
    </w:rPr>
  </w:style>
  <w:style w:type="character" w:customStyle="1" w:styleId="FooterChar">
    <w:name w:val="Footer Char"/>
    <w:basedOn w:val="DefaultParagraphFont"/>
    <w:link w:val="Footer"/>
    <w:uiPriority w:val="99"/>
    <w:rsid w:val="00976D7E"/>
    <w:rPr>
      <w:rFonts w:ascii="NoorLotus" w:eastAsia="Calibri" w:hAnsi="NoorLotus" w:cs="NoorLotus"/>
      <w:b/>
      <w:bCs/>
      <w:kern w:val="0"/>
      <w:sz w:val="28"/>
      <w:szCs w:val="28"/>
      <w14:ligatures w14:val="none"/>
    </w:rPr>
  </w:style>
  <w:style w:type="paragraph" w:styleId="FootnoteText">
    <w:name w:val="footnote text"/>
    <w:basedOn w:val="Normal"/>
    <w:link w:val="FootnoteTextChar"/>
    <w:uiPriority w:val="99"/>
    <w:unhideWhenUsed/>
    <w:rsid w:val="00976D7E"/>
    <w:pPr>
      <w:bidi w:val="0"/>
      <w:spacing w:after="0" w:line="240" w:lineRule="auto"/>
    </w:pPr>
    <w:rPr>
      <w:rFonts w:ascii="Times New Roman" w:eastAsia="Times New Roman" w:hAnsi="Times New Roman" w:cs="Times New Roman"/>
      <w:sz w:val="20"/>
      <w:szCs w:val="20"/>
      <w:lang w:bidi="ar-SA"/>
    </w:rPr>
  </w:style>
  <w:style w:type="character" w:customStyle="1" w:styleId="FootnoteTextChar">
    <w:name w:val="Footnote Text Char"/>
    <w:basedOn w:val="DefaultParagraphFont"/>
    <w:link w:val="FootnoteText"/>
    <w:uiPriority w:val="99"/>
    <w:rsid w:val="00976D7E"/>
    <w:rPr>
      <w:rFonts w:ascii="Times New Roman" w:eastAsia="Times New Roman" w:hAnsi="Times New Roman" w:cs="Times New Roman"/>
      <w:kern w:val="0"/>
      <w:sz w:val="20"/>
      <w:szCs w:val="20"/>
      <w:lang w:bidi="ar-SA"/>
      <w14:ligatures w14:val="none"/>
    </w:rPr>
  </w:style>
  <w:style w:type="character" w:styleId="FootnoteReference">
    <w:name w:val="footnote reference"/>
    <w:basedOn w:val="DefaultParagraphFont"/>
    <w:uiPriority w:val="99"/>
    <w:unhideWhenUsed/>
    <w:rsid w:val="00976D7E"/>
    <w:rPr>
      <w:vertAlign w:val="superscript"/>
    </w:rPr>
  </w:style>
  <w:style w:type="paragraph" w:styleId="NormalWeb">
    <w:name w:val="Normal (Web)"/>
    <w:basedOn w:val="Normal"/>
    <w:uiPriority w:val="99"/>
    <w:unhideWhenUsed/>
    <w:rsid w:val="00270A22"/>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TOCHeading">
    <w:name w:val="TOC Heading"/>
    <w:basedOn w:val="Heading1"/>
    <w:next w:val="Normal"/>
    <w:uiPriority w:val="39"/>
    <w:semiHidden/>
    <w:unhideWhenUsed/>
    <w:qFormat/>
    <w:rsid w:val="00B42957"/>
    <w:pPr>
      <w:bidi w:val="0"/>
      <w:spacing w:before="480" w:line="276" w:lineRule="auto"/>
      <w:outlineLvl w:val="9"/>
    </w:pPr>
    <w:rPr>
      <w:rFonts w:asciiTheme="majorHAnsi" w:hAnsiTheme="majorHAnsi" w:cstheme="majorBidi"/>
      <w:kern w:val="0"/>
      <w:lang w:eastAsia="ja-JP" w:bidi="ar-SA"/>
      <w14:ligatures w14:val="none"/>
    </w:rPr>
  </w:style>
  <w:style w:type="paragraph" w:styleId="TOC1">
    <w:name w:val="toc 1"/>
    <w:basedOn w:val="Normal"/>
    <w:next w:val="Normal"/>
    <w:autoRedefine/>
    <w:uiPriority w:val="39"/>
    <w:unhideWhenUsed/>
    <w:rsid w:val="00B42957"/>
    <w:pPr>
      <w:spacing w:after="100"/>
    </w:pPr>
  </w:style>
  <w:style w:type="paragraph" w:styleId="TOC2">
    <w:name w:val="toc 2"/>
    <w:basedOn w:val="Normal"/>
    <w:next w:val="Normal"/>
    <w:autoRedefine/>
    <w:uiPriority w:val="39"/>
    <w:unhideWhenUsed/>
    <w:rsid w:val="00B42957"/>
    <w:pPr>
      <w:spacing w:after="100"/>
      <w:ind w:left="220"/>
    </w:pPr>
  </w:style>
  <w:style w:type="paragraph" w:styleId="TOC3">
    <w:name w:val="toc 3"/>
    <w:basedOn w:val="Normal"/>
    <w:next w:val="Normal"/>
    <w:autoRedefine/>
    <w:uiPriority w:val="39"/>
    <w:unhideWhenUsed/>
    <w:rsid w:val="00B42957"/>
    <w:pPr>
      <w:spacing w:after="100"/>
      <w:ind w:left="440"/>
    </w:pPr>
  </w:style>
  <w:style w:type="character" w:styleId="Hyperlink">
    <w:name w:val="Hyperlink"/>
    <w:basedOn w:val="DefaultParagraphFont"/>
    <w:uiPriority w:val="99"/>
    <w:unhideWhenUsed/>
    <w:rsid w:val="00B42957"/>
    <w:rPr>
      <w:color w:val="467886" w:themeColor="hyperlink"/>
      <w:u w:val="single"/>
    </w:rPr>
  </w:style>
  <w:style w:type="paragraph" w:styleId="BalloonText">
    <w:name w:val="Balloon Text"/>
    <w:basedOn w:val="Normal"/>
    <w:link w:val="BalloonTextChar"/>
    <w:uiPriority w:val="99"/>
    <w:semiHidden/>
    <w:unhideWhenUsed/>
    <w:rsid w:val="00B429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2957"/>
    <w:rPr>
      <w:rFonts w:ascii="Tahoma" w:hAnsi="Tahoma" w:cs="Tahoma"/>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431179">
      <w:bodyDiv w:val="1"/>
      <w:marLeft w:val="0"/>
      <w:marRight w:val="0"/>
      <w:marTop w:val="0"/>
      <w:marBottom w:val="0"/>
      <w:divBdr>
        <w:top w:val="none" w:sz="0" w:space="0" w:color="auto"/>
        <w:left w:val="none" w:sz="0" w:space="0" w:color="auto"/>
        <w:bottom w:val="none" w:sz="0" w:space="0" w:color="auto"/>
        <w:right w:val="none" w:sz="0" w:space="0" w:color="auto"/>
      </w:divBdr>
    </w:div>
    <w:div w:id="122307331">
      <w:bodyDiv w:val="1"/>
      <w:marLeft w:val="0"/>
      <w:marRight w:val="0"/>
      <w:marTop w:val="0"/>
      <w:marBottom w:val="0"/>
      <w:divBdr>
        <w:top w:val="none" w:sz="0" w:space="0" w:color="auto"/>
        <w:left w:val="none" w:sz="0" w:space="0" w:color="auto"/>
        <w:bottom w:val="none" w:sz="0" w:space="0" w:color="auto"/>
        <w:right w:val="none" w:sz="0" w:space="0" w:color="auto"/>
      </w:divBdr>
    </w:div>
    <w:div w:id="147215052">
      <w:bodyDiv w:val="1"/>
      <w:marLeft w:val="0"/>
      <w:marRight w:val="0"/>
      <w:marTop w:val="0"/>
      <w:marBottom w:val="0"/>
      <w:divBdr>
        <w:top w:val="none" w:sz="0" w:space="0" w:color="auto"/>
        <w:left w:val="none" w:sz="0" w:space="0" w:color="auto"/>
        <w:bottom w:val="none" w:sz="0" w:space="0" w:color="auto"/>
        <w:right w:val="none" w:sz="0" w:space="0" w:color="auto"/>
      </w:divBdr>
    </w:div>
    <w:div w:id="389040469">
      <w:bodyDiv w:val="1"/>
      <w:marLeft w:val="0"/>
      <w:marRight w:val="0"/>
      <w:marTop w:val="0"/>
      <w:marBottom w:val="0"/>
      <w:divBdr>
        <w:top w:val="none" w:sz="0" w:space="0" w:color="auto"/>
        <w:left w:val="none" w:sz="0" w:space="0" w:color="auto"/>
        <w:bottom w:val="none" w:sz="0" w:space="0" w:color="auto"/>
        <w:right w:val="none" w:sz="0" w:space="0" w:color="auto"/>
      </w:divBdr>
    </w:div>
    <w:div w:id="599720124">
      <w:bodyDiv w:val="1"/>
      <w:marLeft w:val="0"/>
      <w:marRight w:val="0"/>
      <w:marTop w:val="0"/>
      <w:marBottom w:val="0"/>
      <w:divBdr>
        <w:top w:val="none" w:sz="0" w:space="0" w:color="auto"/>
        <w:left w:val="none" w:sz="0" w:space="0" w:color="auto"/>
        <w:bottom w:val="none" w:sz="0" w:space="0" w:color="auto"/>
        <w:right w:val="none" w:sz="0" w:space="0" w:color="auto"/>
      </w:divBdr>
    </w:div>
    <w:div w:id="655258973">
      <w:bodyDiv w:val="1"/>
      <w:marLeft w:val="0"/>
      <w:marRight w:val="0"/>
      <w:marTop w:val="0"/>
      <w:marBottom w:val="0"/>
      <w:divBdr>
        <w:top w:val="none" w:sz="0" w:space="0" w:color="auto"/>
        <w:left w:val="none" w:sz="0" w:space="0" w:color="auto"/>
        <w:bottom w:val="none" w:sz="0" w:space="0" w:color="auto"/>
        <w:right w:val="none" w:sz="0" w:space="0" w:color="auto"/>
      </w:divBdr>
    </w:div>
    <w:div w:id="751707679">
      <w:bodyDiv w:val="1"/>
      <w:marLeft w:val="0"/>
      <w:marRight w:val="0"/>
      <w:marTop w:val="0"/>
      <w:marBottom w:val="0"/>
      <w:divBdr>
        <w:top w:val="none" w:sz="0" w:space="0" w:color="auto"/>
        <w:left w:val="none" w:sz="0" w:space="0" w:color="auto"/>
        <w:bottom w:val="none" w:sz="0" w:space="0" w:color="auto"/>
        <w:right w:val="none" w:sz="0" w:space="0" w:color="auto"/>
      </w:divBdr>
    </w:div>
    <w:div w:id="856969607">
      <w:bodyDiv w:val="1"/>
      <w:marLeft w:val="0"/>
      <w:marRight w:val="0"/>
      <w:marTop w:val="0"/>
      <w:marBottom w:val="0"/>
      <w:divBdr>
        <w:top w:val="none" w:sz="0" w:space="0" w:color="auto"/>
        <w:left w:val="none" w:sz="0" w:space="0" w:color="auto"/>
        <w:bottom w:val="none" w:sz="0" w:space="0" w:color="auto"/>
        <w:right w:val="none" w:sz="0" w:space="0" w:color="auto"/>
      </w:divBdr>
    </w:div>
    <w:div w:id="1019352783">
      <w:bodyDiv w:val="1"/>
      <w:marLeft w:val="0"/>
      <w:marRight w:val="0"/>
      <w:marTop w:val="0"/>
      <w:marBottom w:val="0"/>
      <w:divBdr>
        <w:top w:val="none" w:sz="0" w:space="0" w:color="auto"/>
        <w:left w:val="none" w:sz="0" w:space="0" w:color="auto"/>
        <w:bottom w:val="none" w:sz="0" w:space="0" w:color="auto"/>
        <w:right w:val="none" w:sz="0" w:space="0" w:color="auto"/>
      </w:divBdr>
    </w:div>
    <w:div w:id="1472213130">
      <w:bodyDiv w:val="1"/>
      <w:marLeft w:val="0"/>
      <w:marRight w:val="0"/>
      <w:marTop w:val="0"/>
      <w:marBottom w:val="0"/>
      <w:divBdr>
        <w:top w:val="none" w:sz="0" w:space="0" w:color="auto"/>
        <w:left w:val="none" w:sz="0" w:space="0" w:color="auto"/>
        <w:bottom w:val="none" w:sz="0" w:space="0" w:color="auto"/>
        <w:right w:val="none" w:sz="0" w:space="0" w:color="auto"/>
      </w:divBdr>
    </w:div>
    <w:div w:id="1862235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6D1704-4721-40AD-A703-853F81D5A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1</Pages>
  <Words>2449</Words>
  <Characters>13960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Amani</dc:creator>
  <cp:keywords/>
  <dc:description/>
  <cp:lastModifiedBy>سیّدمحسن حسینی رحمت آباد</cp:lastModifiedBy>
  <cp:revision>97</cp:revision>
  <cp:lastPrinted>2024-12-18T04:17:00Z</cp:lastPrinted>
  <dcterms:created xsi:type="dcterms:W3CDTF">2024-12-17T10:25:00Z</dcterms:created>
  <dcterms:modified xsi:type="dcterms:W3CDTF">2024-12-18T04:17:00Z</dcterms:modified>
</cp:coreProperties>
</file>